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33CD" w14:textId="77777777" w:rsidR="007A6902" w:rsidRPr="00AA344F" w:rsidRDefault="007A6902" w:rsidP="00324D07">
      <w:pPr>
        <w:pStyle w:val="Default"/>
        <w:spacing w:before="60" w:line="276" w:lineRule="auto"/>
        <w:jc w:val="both"/>
        <w:rPr>
          <w:rFonts w:ascii="Times New Roman" w:hAnsi="Times New Roman" w:cs="Times New Roman"/>
          <w:b/>
          <w:bCs/>
          <w:color w:val="000000" w:themeColor="text1"/>
          <w:sz w:val="26"/>
          <w:szCs w:val="26"/>
        </w:rPr>
      </w:pPr>
      <w:r w:rsidRPr="00AA344F">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6192" behindDoc="0" locked="0" layoutInCell="1" allowOverlap="1" wp14:anchorId="34272576" wp14:editId="17A40CEA">
                <wp:simplePos x="0" y="0"/>
                <wp:positionH relativeFrom="column">
                  <wp:posOffset>68088</wp:posOffset>
                </wp:positionH>
                <wp:positionV relativeFrom="paragraph">
                  <wp:posOffset>38799</wp:posOffset>
                </wp:positionV>
                <wp:extent cx="6040890" cy="353695"/>
                <wp:effectExtent l="76200" t="57150" r="93345" b="12255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890" cy="353695"/>
                        </a:xfrm>
                        <a:prstGeom prst="rect">
                          <a:avLst/>
                        </a:prstGeom>
                        <a:solidFill>
                          <a:schemeClr val="accent5">
                            <a:lumMod val="60000"/>
                            <a:lumOff val="40000"/>
                          </a:schemeClr>
                        </a:solidFill>
                        <a:ln w="38100">
                          <a:solidFill>
                            <a:schemeClr val="lt1">
                              <a:lumMod val="95000"/>
                              <a:lumOff val="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5CDC88E2" w14:textId="03ABFF25" w:rsidR="00AA344F" w:rsidRPr="00684AD5" w:rsidRDefault="00AA344F" w:rsidP="007A6902">
                            <w:pPr>
                              <w:jc w:val="center"/>
                              <w:rPr>
                                <w:b/>
                                <w:sz w:val="32"/>
                                <w:szCs w:val="32"/>
                              </w:rPr>
                            </w:pPr>
                            <w:r w:rsidRPr="007819D9">
                              <w:rPr>
                                <w:b/>
                                <w:sz w:val="32"/>
                                <w:szCs w:val="32"/>
                              </w:rPr>
                              <w:t>THÔNG TIN</w:t>
                            </w:r>
                            <w:r w:rsidRPr="00684AD5">
                              <w:rPr>
                                <w:b/>
                                <w:sz w:val="32"/>
                                <w:szCs w:val="32"/>
                              </w:rPr>
                              <w:t xml:space="preserve"> </w:t>
                            </w:r>
                            <w:r>
                              <w:rPr>
                                <w:b/>
                                <w:sz w:val="32"/>
                                <w:szCs w:val="32"/>
                              </w:rPr>
                              <w:t>KHUYẾN CÁO SỬ DỤNG T</w:t>
                            </w:r>
                            <w:r w:rsidRPr="00684AD5">
                              <w:rPr>
                                <w:b/>
                                <w:sz w:val="32"/>
                                <w:szCs w:val="32"/>
                              </w:rPr>
                              <w:t>HUỐC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272576" id="_x0000_t202" coordsize="21600,21600" o:spt="202" path="m,l,21600r21600,l21600,xe">
                <v:stroke joinstyle="miter"/>
                <v:path gradientshapeok="t" o:connecttype="rect"/>
              </v:shapetype>
              <v:shape id="Text Box 3" o:spid="_x0000_s1026" type="#_x0000_t202" style="position:absolute;left:0;text-align:left;margin-left:5.35pt;margin-top:3.05pt;width:475.65pt;height:2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" fillcolor="#9bc7ce [1944]" strokecolor="#f2f2f2 [3041]" strokeweight="3pt">
                <v:shadow on="t" color="#143e69 [1606]" opacity=".5" offset="1pt,.74833mm"/>
                <v:textbox>
                  <w:txbxContent>
                    <w:p w14:paraId="5CDC88E2" w14:textId="03ABFF25" w:rsidR="00AA344F" w:rsidRPr="00684AD5" w:rsidRDefault="00AA344F" w:rsidP="007A6902">
                      <w:pPr>
                        <w:jc w:val="center"/>
                        <w:rPr>
                          <w:b/>
                          <w:sz w:val="32"/>
                          <w:szCs w:val="32"/>
                        </w:rPr>
                      </w:pPr>
                      <w:r w:rsidRPr="007819D9">
                        <w:rPr>
                          <w:b/>
                          <w:sz w:val="32"/>
                          <w:szCs w:val="32"/>
                        </w:rPr>
                        <w:t>THÔNG TIN</w:t>
                      </w:r>
                      <w:r w:rsidRPr="00684AD5">
                        <w:rPr>
                          <w:b/>
                          <w:sz w:val="32"/>
                          <w:szCs w:val="32"/>
                        </w:rPr>
                        <w:t xml:space="preserve"> </w:t>
                      </w:r>
                      <w:r>
                        <w:rPr>
                          <w:b/>
                          <w:sz w:val="32"/>
                          <w:szCs w:val="32"/>
                        </w:rPr>
                        <w:t>KHUYẾN CÁO SỬ DỤNG T</w:t>
                      </w:r>
                      <w:r w:rsidRPr="00684AD5">
                        <w:rPr>
                          <w:b/>
                          <w:sz w:val="32"/>
                          <w:szCs w:val="32"/>
                        </w:rPr>
                        <w:t>HUỐC</w:t>
                      </w:r>
                    </w:p>
                  </w:txbxContent>
                </v:textbox>
              </v:shape>
            </w:pict>
          </mc:Fallback>
        </mc:AlternateContent>
      </w:r>
    </w:p>
    <w:p w14:paraId="5D3CAB64" w14:textId="19270CFC" w:rsidR="008A4DFB" w:rsidRPr="00AA344F" w:rsidRDefault="008A4DFB" w:rsidP="00ED719C">
      <w:pPr>
        <w:spacing w:after="0" w:line="360" w:lineRule="auto"/>
        <w:rPr>
          <w:b/>
          <w:color w:val="000000" w:themeColor="text1"/>
          <w:sz w:val="26"/>
          <w:szCs w:val="26"/>
        </w:rPr>
      </w:pPr>
    </w:p>
    <w:p w14:paraId="0A29D4AD" w14:textId="7B9B1E0F" w:rsidR="00EA09A0" w:rsidRPr="00AA344F" w:rsidRDefault="00EA09A0" w:rsidP="00C02562">
      <w:pPr>
        <w:spacing w:before="120" w:after="0" w:line="360" w:lineRule="auto"/>
        <w:jc w:val="center"/>
        <w:rPr>
          <w:b/>
          <w:color w:val="000000" w:themeColor="text1"/>
        </w:rPr>
      </w:pPr>
      <w:r w:rsidRPr="00AA344F">
        <w:rPr>
          <w:b/>
          <w:color w:val="000000" w:themeColor="text1"/>
        </w:rPr>
        <w:t>BÀI 1: HSA: Amoxicillin và nguy cơ viêm màng não vô khuẩn</w:t>
      </w:r>
    </w:p>
    <w:p w14:paraId="42DC301F" w14:textId="2E8328D3"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Amoxicillin là kháng sinh beta-lactam phổ hẹp được cấp phép lưu hành tại Singapore từ năm 1998 để điều trị các bệnh nhiễm khuẩn thường gặp như nhiễm khuẩn hô hấp, nhiễm khuẩn sinh dục, nhiễm khuẩn da và mô mềm. Hoạt chất hiện có dạng đơn thành phần hoặc kết hợp với clavulanat - chất ức chế beta-lactamase.</w:t>
      </w:r>
    </w:p>
    <w:p w14:paraId="653BE546" w14:textId="413E65A0" w:rsidR="00EA09A0" w:rsidRPr="00AA344F" w:rsidRDefault="00EA09A0" w:rsidP="00C02562">
      <w:pPr>
        <w:spacing w:before="120" w:after="0"/>
        <w:ind w:firstLine="720"/>
        <w:jc w:val="both"/>
        <w:rPr>
          <w:b/>
          <w:color w:val="000000" w:themeColor="text1"/>
          <w:sz w:val="26"/>
          <w:szCs w:val="26"/>
        </w:rPr>
      </w:pPr>
      <w:r w:rsidRPr="00AA344F">
        <w:rPr>
          <w:b/>
          <w:color w:val="000000" w:themeColor="text1"/>
          <w:sz w:val="26"/>
          <w:szCs w:val="26"/>
        </w:rPr>
        <w:t>Viêm màng não vô khuẩn</w:t>
      </w:r>
    </w:p>
    <w:p w14:paraId="3E2F85CC" w14:textId="40922A5C"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Viêm màng não vô khuẩn là tình trạng màng não và tủy sống bị viêm không do nhiễm khuẩn. Các loại thuốc như thuốc chống viêm không steroid (NSAID), globulin miễn dịch đường tĩnh mạch và kháng sinh, bao gồm amoxicillin, đã được xác định là nguyên nhân tiềm tàng của viêm màng não vô khuẩn. Các nguyên nhân khác bao gồm ung thư, bệnh tự miễn hoặc các bệnh tự miễn hệ thống (như lupus ban đỏ hệ thống, viêm khớp dạng thấp) và các nguyên nhân khác do điều trị gây ra như biến chứng chọc ống cột sống thắt lưng hoặc phản ứng có hại của thuốc tiêm tủy sống. Cơ chế bệnh sinh của viêm màng não vô khuẩn do thuốc vẫn chưa được biết rõ, nhưng đề xuất có thể do phản ứng quá mẫn muộn.</w:t>
      </w:r>
    </w:p>
    <w:p w14:paraId="10004074" w14:textId="5A0B8964" w:rsidR="00EA09A0" w:rsidRPr="00AA344F" w:rsidRDefault="00EA09A0" w:rsidP="00C02562">
      <w:pPr>
        <w:spacing w:before="120" w:after="0"/>
        <w:ind w:firstLine="720"/>
        <w:jc w:val="both"/>
        <w:rPr>
          <w:b/>
          <w:color w:val="000000" w:themeColor="text1"/>
          <w:sz w:val="26"/>
          <w:szCs w:val="26"/>
        </w:rPr>
      </w:pPr>
      <w:r w:rsidRPr="00AA344F">
        <w:rPr>
          <w:b/>
          <w:color w:val="000000" w:themeColor="text1"/>
          <w:sz w:val="26"/>
          <w:szCs w:val="26"/>
        </w:rPr>
        <w:t>Viêm màng não vô khuẩn do amoxicillin</w:t>
      </w:r>
    </w:p>
    <w:p w14:paraId="28E43E49" w14:textId="4D09B969"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Có rất ít trường hợp viêm màng não vô khuẩn được công bố trong y văn liên quan đến việc sử dụng các chế phẩm chứa amoxicillin. Bệnh nhân thường xuất hiện sốt và đau đầu tiến triển trong vài giờ đến 7 ngày sau khi sử dụng amoxicillin. Chứng sợ ánh sáng, cứng gáy, li bì, đau cơ và cảm giác khó chịu cũng xảy ra với một số bệnh nhân. Đáng chú ý, hầu hết các trường hợp đều hồi phục tích cực, sau 2 đến 3 đợt viêm màng não vô khuẩn do amoxicillin. Các phát hiện trong dịch não tủy (CSF) điển hình bao gồm tăng bạch cầu (tế bào lympho hoặc bạch cầu trung tính), trong một số trường hợp đi kèm với tăng protein và nồng độ glucose thường bình thường (khác với trong viêm màng não do vi khuẩn với nồng độ glucose CSF thấp). Nuôi cấy CSF luôn âm tính.</w:t>
      </w:r>
    </w:p>
    <w:p w14:paraId="3470B8B7" w14:textId="320C6BB4"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Việc chẩn đoán viêm màng não vô khuẩn do amoxicillin thường dựa trên mối liên quan về thời gian giữa việc uống thuốc và khởi phát triệu chứng, tăng bạch cầu CSF, xét nghiệm vi sinh âm tính và các triệu chứng có khả năng cải thiện nhanh, thường trong vài ngày sau khi ngừng thuốc. Vì đây là một chẩn đoán loại trừ, khai thác tiền sử dùng thuốc kỹ lưỡng có thể giúp hỗ trợ chẩn đoán viêm màng não vô khuẩn liên quan đến amoxicillin sau khi đã loại trừ nguyên nhân viêm màng não vô khuẩn liên quan đến nhiễm trùng và bệnh lý khác (chủ yếu là ung thư và bệnh tự miễn).</w:t>
      </w:r>
    </w:p>
    <w:p w14:paraId="1F7141B9" w14:textId="2C28A3EB" w:rsidR="00EA09A0" w:rsidRPr="00AA344F" w:rsidRDefault="00EA09A0" w:rsidP="00C02562">
      <w:pPr>
        <w:spacing w:before="120" w:after="0"/>
        <w:ind w:firstLine="720"/>
        <w:jc w:val="both"/>
        <w:rPr>
          <w:b/>
          <w:color w:val="000000" w:themeColor="text1"/>
          <w:sz w:val="26"/>
          <w:szCs w:val="26"/>
        </w:rPr>
      </w:pPr>
      <w:r w:rsidRPr="00AA344F">
        <w:rPr>
          <w:b/>
          <w:color w:val="000000" w:themeColor="text1"/>
          <w:sz w:val="26"/>
          <w:szCs w:val="26"/>
        </w:rPr>
        <w:t>Đánh giá của Cơ quan Quản lý Y tế Canada</w:t>
      </w:r>
    </w:p>
    <w:p w14:paraId="6EBAB91A" w14:textId="1AAC4FCB"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 xml:space="preserve">Vào năm 2021, Health Canada đã xem xét nguy cơ tiềm tàng của bệnh viêm màng não vô khuẩn trên những bệnh nhân được điều trị bằng các chế phẩm có chứa amoxicillin và kết luận rằng có thể có mối liên quan giữa bệnh và thuốc. Các đánh giá thực hiện trên các bệnh </w:t>
      </w:r>
      <w:r w:rsidRPr="00AA344F">
        <w:rPr>
          <w:color w:val="000000" w:themeColor="text1"/>
          <w:sz w:val="26"/>
          <w:szCs w:val="26"/>
        </w:rPr>
        <w:lastRenderedPageBreak/>
        <w:t>nhân viêm màng não vô khuẩn liên quan đến việc sử dụng amoxicillin tại Canada và các nước khác, đồng thời nghiên cứu các trường hợp tại quốc gia khác được báo cáo cho Cơ sở dữ liệu về phản ứng có hại của Tổ chức Y tế Thế giới (WHO), cho thấy mối liên hệ giữa nguy cơ viêm màng não vô khuẩn và việc sử dụng amoxicillin.</w:t>
      </w:r>
    </w:p>
    <w:p w14:paraId="0C5C1DF3" w14:textId="77777777" w:rsidR="00EA09A0" w:rsidRPr="00AA344F" w:rsidRDefault="00EA09A0" w:rsidP="00C02562">
      <w:pPr>
        <w:spacing w:before="120" w:after="0"/>
        <w:ind w:firstLine="720"/>
        <w:jc w:val="both"/>
        <w:rPr>
          <w:b/>
          <w:color w:val="000000" w:themeColor="text1"/>
          <w:sz w:val="26"/>
          <w:szCs w:val="26"/>
        </w:rPr>
      </w:pPr>
      <w:r w:rsidRPr="00AA344F">
        <w:rPr>
          <w:b/>
          <w:color w:val="000000" w:themeColor="text1"/>
          <w:sz w:val="26"/>
          <w:szCs w:val="26"/>
        </w:rPr>
        <w:t>Ghi nhận tại Singapore</w:t>
      </w:r>
    </w:p>
    <w:p w14:paraId="2D3ADFF0" w14:textId="5BCF8DC1"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Cho đến nay, HSA đã nhận được một báo cáo về bệnh viêm màng não vô khuẩn có thể liên quan đến việc sử dụng amoxicillin/acid clavulanic.</w:t>
      </w:r>
    </w:p>
    <w:p w14:paraId="40AFF272" w14:textId="296A6D1D" w:rsidR="00EA09A0" w:rsidRPr="00AA344F" w:rsidRDefault="00EA09A0" w:rsidP="00C02562">
      <w:pPr>
        <w:spacing w:before="120" w:after="0"/>
        <w:ind w:firstLine="720"/>
        <w:jc w:val="both"/>
        <w:rPr>
          <w:color w:val="000000" w:themeColor="text1"/>
          <w:sz w:val="26"/>
          <w:szCs w:val="26"/>
        </w:rPr>
      </w:pPr>
      <w:r w:rsidRPr="00AA344F">
        <w:rPr>
          <w:color w:val="000000" w:themeColor="text1"/>
          <w:sz w:val="26"/>
          <w:szCs w:val="26"/>
        </w:rPr>
        <w:t>Hiện tại, viêm màng não vô khuẩn là một biến cố bất lợi đã được ghi trên nhãn (PI) của một số chế phẩm có chứa amoxicillin. HSA đang làm việc với cơ quan đăng ký thuốc của các chế phẩm còn lại để đảm bảo thông tin an toàn trên được liệt kê trong PI của tất cả các chế phẩm có chứa amoxicillin tại Singapore.</w:t>
      </w:r>
    </w:p>
    <w:p w14:paraId="25CEF250" w14:textId="66F47D60" w:rsidR="00EA09A0" w:rsidRPr="00AA344F" w:rsidRDefault="00EA09A0" w:rsidP="00C02562">
      <w:pPr>
        <w:spacing w:before="120" w:after="0"/>
        <w:ind w:firstLine="720"/>
        <w:jc w:val="both"/>
        <w:rPr>
          <w:b/>
          <w:color w:val="000000" w:themeColor="text1"/>
          <w:sz w:val="26"/>
          <w:szCs w:val="26"/>
        </w:rPr>
      </w:pPr>
      <w:r w:rsidRPr="00AA344F">
        <w:rPr>
          <w:b/>
          <w:color w:val="000000" w:themeColor="text1"/>
          <w:sz w:val="26"/>
          <w:szCs w:val="26"/>
        </w:rPr>
        <w:t>Khuyến cáo của HSA</w:t>
      </w:r>
    </w:p>
    <w:p w14:paraId="08DD2E59" w14:textId="0F329CB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Viêm màng não vô khuẩn liên quan đến amoxicillin là một AE rất hiếm gặp nhưng có thể hồi phục, có thể được xử trí bằng cách ngừng thuốc. Do đó, việc nhanh chóng phát hiện AE này có thể giúp không phải tiến hành quy trình chẩn đoán xâm lấn và điều trị kéo dài, cũng như khả năng xuất hiện các đợt tái phát liên quan đến việc sử dụng amoxicillin tiếp theo. Nhân viên y tế cần cân nhắc khả năng xảy ra AE này ở bệnh nhân được kê đơn các chế phẩm chứa amoxicillin xuất hiện viêm màng não vô khuẩn sau khi loại trừ các nguyên nhân do nhiễm khuẩn hoặc bệnh lý khác.</w:t>
      </w:r>
    </w:p>
    <w:p w14:paraId="4C7AABB5" w14:textId="57B78065" w:rsidR="00EA09A0" w:rsidRPr="00AA344F" w:rsidRDefault="00EA09A0" w:rsidP="00C02562">
      <w:pPr>
        <w:spacing w:before="120" w:after="0"/>
        <w:ind w:firstLine="567"/>
        <w:jc w:val="both"/>
        <w:rPr>
          <w:rStyle w:val="Hyperlink"/>
          <w:i/>
          <w:color w:val="000000" w:themeColor="text1"/>
          <w:sz w:val="26"/>
          <w:szCs w:val="26"/>
          <w:shd w:val="clear" w:color="auto" w:fill="FFFFFF"/>
        </w:rPr>
      </w:pPr>
      <w:r w:rsidRPr="00AA344F">
        <w:rPr>
          <w:i/>
          <w:color w:val="000000" w:themeColor="text1"/>
          <w:sz w:val="26"/>
          <w:szCs w:val="26"/>
          <w:shd w:val="clear" w:color="auto" w:fill="FFFFFF"/>
        </w:rPr>
        <w:t>Nguồn:</w:t>
      </w:r>
      <w:r w:rsidRPr="00AA344F">
        <w:rPr>
          <w:color w:val="000000" w:themeColor="text1"/>
          <w:sz w:val="26"/>
          <w:szCs w:val="26"/>
        </w:rPr>
        <w:t xml:space="preserve"> </w:t>
      </w:r>
      <w:hyperlink r:id="rId8" w:history="1">
        <w:r w:rsidRPr="00AA344F">
          <w:rPr>
            <w:rStyle w:val="Hyperlink"/>
            <w:i/>
            <w:color w:val="000000" w:themeColor="text1"/>
            <w:sz w:val="26"/>
            <w:szCs w:val="26"/>
            <w:shd w:val="clear" w:color="auto" w:fill="FFFFFF"/>
          </w:rPr>
          <w:t>http://canhgiacduoc.org.vn/</w:t>
        </w:r>
      </w:hyperlink>
    </w:p>
    <w:p w14:paraId="4CF339AB" w14:textId="3C38B0F7" w:rsidR="008A64AA" w:rsidRPr="00AA344F" w:rsidRDefault="00E87DFC" w:rsidP="00C02562">
      <w:pPr>
        <w:spacing w:before="120" w:after="0"/>
        <w:jc w:val="center"/>
        <w:rPr>
          <w:rStyle w:val="Hyperlink"/>
          <w:b/>
          <w:color w:val="000000" w:themeColor="text1"/>
          <w:sz w:val="26"/>
          <w:szCs w:val="26"/>
          <w:u w:val="none"/>
          <w:shd w:val="clear" w:color="auto" w:fill="FFFFFF"/>
        </w:rPr>
      </w:pPr>
      <w:r w:rsidRPr="00AA344F">
        <w:rPr>
          <w:rStyle w:val="Hyperlink"/>
          <w:b/>
          <w:color w:val="000000" w:themeColor="text1"/>
          <w:sz w:val="26"/>
          <w:szCs w:val="26"/>
          <w:u w:val="none"/>
          <w:shd w:val="clear" w:color="auto" w:fill="FFFFFF"/>
        </w:rPr>
        <w:t>BÀI 2: WHO: Bổ sung khuyến cáo sử dụng nirmatrelvir-ritonavir (Paxlovid) và remdesivir trong Hướng dẫn điều trị Covid-19 cập nhật lần thứ 10</w:t>
      </w:r>
    </w:p>
    <w:p w14:paraId="3B139A2B"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xml:space="preserve">Nirmatrelvir-ritonavir (Paxlovid) và remdesivir đều được khuyến cáo sử dụng cho bệnh nhân mắc Covid-19 mức độ </w:t>
      </w:r>
      <w:bookmarkStart w:id="0" w:name="_GoBack"/>
      <w:bookmarkEnd w:id="0"/>
      <w:r w:rsidRPr="00AA344F">
        <w:rPr>
          <w:color w:val="000000" w:themeColor="text1"/>
          <w:sz w:val="26"/>
          <w:szCs w:val="26"/>
          <w:shd w:val="clear" w:color="auto" w:fill="FFFFFF"/>
          <w:lang w:val="vi-VN"/>
        </w:rPr>
        <w:t>không nghiêm trọng và có nguy cơ cao nhất cần nhập viện. Đặc điểm điển hình của người có nguy cơ nhập viện cao nhất bao gồm chưa tiêm vắc xin phòng COVID-19, tuổi cao, suy giảm miễn dịch và/hoặc có bệnh lý nền mạn tính (như đái tháo đường). Với đối tượng bệnh nhân này có một số lựa chọn điều trị như nirmatrelvir-ritonavir, molnupiravir, remdesivir và các kháng thể đơn dòng (xem công cụ hỗ trợ ra quyết định lựa chọn thuốc).</w:t>
      </w:r>
    </w:p>
    <w:p w14:paraId="737EE057" w14:textId="6AA6A417" w:rsidR="00E87DFC" w:rsidRPr="00AA344F" w:rsidRDefault="00E87DFC" w:rsidP="00C02562">
      <w:pPr>
        <w:spacing w:before="120" w:after="0"/>
        <w:ind w:firstLine="720"/>
        <w:jc w:val="both"/>
        <w:rPr>
          <w:b/>
          <w:color w:val="000000" w:themeColor="text1"/>
          <w:sz w:val="26"/>
          <w:szCs w:val="26"/>
          <w:shd w:val="clear" w:color="auto" w:fill="FFFFFF"/>
          <w:lang w:val="vi-VN"/>
        </w:rPr>
      </w:pPr>
      <w:r w:rsidRPr="00AA344F">
        <w:rPr>
          <w:b/>
          <w:color w:val="000000" w:themeColor="text1"/>
          <w:sz w:val="26"/>
          <w:szCs w:val="26"/>
          <w:shd w:val="clear" w:color="auto" w:fill="FFFFFF"/>
          <w:lang w:val="vi-VN"/>
        </w:rPr>
        <w:t>Đối với nirmatrelvir-ritonavir (khuyến cáo sử dụng mức độ mạnh)</w:t>
      </w:r>
    </w:p>
    <w:p w14:paraId="48209C89"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Nhóm xây dựng hướng dẫn điều trị của WHO (The Guideline Development Group – GDG) kết luận nirmatrelvir-ritonavir là một lựa chọn tốt hơn dựa trên hiệu quả cao hơn trong việc giảm nguy cơ nhập viện so với các lựa chọn thay thế khác, hạn chế các vấn đề an toàn hơn so với molnupiravir; và dễ sử dụng hơn so với remdesivir và các kháng thể cần tiêm tĩnh mạch.</w:t>
      </w:r>
    </w:p>
    <w:p w14:paraId="04D27B71"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lastRenderedPageBreak/>
        <w:t>- Chống chỉ định ở phụ nữ có thai, trẻ em hoặc những người đang sử dụng các loại thuốc có khả năng tương tác nghiêm trọng với nirmatrelvir-ritonavir (có nhiều loại thuốc tương tác với nirmatrelvir-ritonavir, xem cơ chế tác dụng).</w:t>
      </w:r>
    </w:p>
    <w:p w14:paraId="4CB7E896"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Nirmatrelvir-ritonavir nên được sử dụng càng sớm càng tốt sau khi xuất hiện các triệu chứng, thích hợp nhất là trong vòng 5 ngày.</w:t>
      </w:r>
    </w:p>
    <w:p w14:paraId="577684BE" w14:textId="7F3D8146" w:rsidR="00E87DFC" w:rsidRPr="00AA344F" w:rsidRDefault="00E87DFC" w:rsidP="00C02562">
      <w:pPr>
        <w:spacing w:before="120" w:after="0"/>
        <w:ind w:firstLine="720"/>
        <w:jc w:val="both"/>
        <w:rPr>
          <w:b/>
          <w:color w:val="000000" w:themeColor="text1"/>
          <w:sz w:val="26"/>
          <w:szCs w:val="26"/>
          <w:shd w:val="clear" w:color="auto" w:fill="FFFFFF"/>
          <w:lang w:val="vi-VN"/>
        </w:rPr>
      </w:pPr>
      <w:r w:rsidRPr="00AA344F">
        <w:rPr>
          <w:b/>
          <w:color w:val="000000" w:themeColor="text1"/>
          <w:sz w:val="26"/>
          <w:szCs w:val="26"/>
          <w:shd w:val="clear" w:color="auto" w:fill="FFFFFF"/>
          <w:lang w:val="vi-VN"/>
        </w:rPr>
        <w:t>Đối với remdesivir (khuyến cáo sử dụng có điều kiện)</w:t>
      </w:r>
    </w:p>
    <w:p w14:paraId="7F9475A5" w14:textId="77777777" w:rsidR="00E87DFC" w:rsidRPr="00AA344F" w:rsidRDefault="00E87DFC" w:rsidP="00C02562">
      <w:pPr>
        <w:spacing w:before="120" w:after="0"/>
        <w:ind w:firstLine="720"/>
        <w:jc w:val="both"/>
        <w:rPr>
          <w:color w:val="000000" w:themeColor="text1"/>
          <w:sz w:val="26"/>
          <w:szCs w:val="26"/>
          <w:shd w:val="clear" w:color="auto" w:fill="FFFFFF"/>
        </w:rPr>
      </w:pPr>
      <w:r w:rsidRPr="00AA344F">
        <w:rPr>
          <w:color w:val="000000" w:themeColor="text1"/>
          <w:sz w:val="26"/>
          <w:szCs w:val="26"/>
          <w:shd w:val="clear" w:color="auto" w:fill="FFFFFF"/>
          <w:lang w:val="vi-VN"/>
        </w:rPr>
        <w:t>- Remdesivir nên được dùng càng sớm càng tốt ngay khi bắt đầu có các triệu chứng, lý tưởng nhất là trong vòng 7 ngày.</w:t>
      </w:r>
    </w:p>
    <w:p w14:paraId="257F50CB" w14:textId="7D72324C"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Theo dõi bệnh nhân trong một thời gian ngắn sau khi truyền thuốc. Tất cả nhân viên y tế sử dụng thuốc cho người bệnh qua đường tiêm truyền tĩnh mạch đều cần tuân theo các khuyến cáo về phòng ngừa và kiểm soát nhiễm khuẩn ở cơ sở ngoại trú.</w:t>
      </w:r>
    </w:p>
    <w:p w14:paraId="040B3995"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Thận trọng khi sử dụng remdesivir cho những bệnh nhân mắc các bệnh lý về gan hoặc thận</w:t>
      </w:r>
    </w:p>
    <w:p w14:paraId="28870411" w14:textId="77777777"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GDG lưu ý rằng các thử nghiệm không thực hiện trên trẻ em dưới 12 tuổi có cân nặng dưới 40kg, do đó không khuyến khích sử dụng thuốc cho đối tượng này</w:t>
      </w:r>
    </w:p>
    <w:p w14:paraId="6361DBC3" w14:textId="318F41DB" w:rsidR="00E87DFC" w:rsidRPr="00AA344F" w:rsidRDefault="00E87DFC" w:rsidP="00C02562">
      <w:pPr>
        <w:spacing w:before="120" w:after="0"/>
        <w:ind w:firstLine="720"/>
        <w:jc w:val="both"/>
        <w:rPr>
          <w:color w:val="000000" w:themeColor="text1"/>
          <w:sz w:val="26"/>
          <w:szCs w:val="26"/>
          <w:shd w:val="clear" w:color="auto" w:fill="FFFFFF"/>
          <w:lang w:val="vi-VN"/>
        </w:rPr>
      </w:pPr>
      <w:r w:rsidRPr="00AA344F">
        <w:rPr>
          <w:color w:val="000000" w:themeColor="text1"/>
          <w:sz w:val="26"/>
          <w:szCs w:val="26"/>
          <w:shd w:val="clear" w:color="auto" w:fill="FFFFFF"/>
          <w:lang w:val="vi-VN"/>
        </w:rPr>
        <w:t>- Hơn nữa, các thử nghiệm không được thực hiện trên phụ nữ có thai hoặc đang cho con bú. Việc nên hay không nên sử dụng thuốc cần được thảo luận giữa các đối tượng này và nhân viên y tế khi xem xét liệu lợi ích tiềm năng có lớn hơn nguy cơ tiềm ẩn cho mẹ và thai nhi hay không.</w:t>
      </w:r>
    </w:p>
    <w:p w14:paraId="21009B73" w14:textId="52F1EF75" w:rsidR="00E87DFC" w:rsidRPr="00AA344F" w:rsidRDefault="00E87DFC" w:rsidP="00C02562">
      <w:pPr>
        <w:spacing w:before="120" w:after="0"/>
        <w:ind w:firstLine="567"/>
        <w:jc w:val="both"/>
        <w:rPr>
          <w:rStyle w:val="Hyperlink"/>
          <w:i/>
          <w:color w:val="000000" w:themeColor="text1"/>
          <w:sz w:val="26"/>
          <w:szCs w:val="26"/>
          <w:shd w:val="clear" w:color="auto" w:fill="FFFFFF"/>
        </w:rPr>
      </w:pPr>
      <w:r w:rsidRPr="00AA344F">
        <w:rPr>
          <w:i/>
          <w:color w:val="000000" w:themeColor="text1"/>
          <w:sz w:val="26"/>
          <w:szCs w:val="26"/>
          <w:shd w:val="clear" w:color="auto" w:fill="FFFFFF"/>
        </w:rPr>
        <w:t>Nguồn:</w:t>
      </w:r>
      <w:r w:rsidRPr="00AA344F">
        <w:rPr>
          <w:color w:val="000000" w:themeColor="text1"/>
          <w:sz w:val="26"/>
          <w:szCs w:val="26"/>
        </w:rPr>
        <w:t xml:space="preserve"> </w:t>
      </w:r>
      <w:hyperlink r:id="rId9" w:history="1">
        <w:r w:rsidRPr="00AA344F">
          <w:rPr>
            <w:rStyle w:val="Hyperlink"/>
            <w:i/>
            <w:color w:val="000000" w:themeColor="text1"/>
            <w:sz w:val="26"/>
            <w:szCs w:val="26"/>
            <w:shd w:val="clear" w:color="auto" w:fill="FFFFFF"/>
          </w:rPr>
          <w:t>http://canhgiacduoc.org.vn/</w:t>
        </w:r>
      </w:hyperlink>
    </w:p>
    <w:p w14:paraId="6DC52D7D" w14:textId="788F3E18" w:rsidR="00E87DFC" w:rsidRPr="00AA344F" w:rsidRDefault="00E87DFC" w:rsidP="00C02562">
      <w:pPr>
        <w:spacing w:before="120" w:after="0"/>
        <w:ind w:firstLine="567"/>
        <w:jc w:val="center"/>
        <w:rPr>
          <w:b/>
          <w:color w:val="000000" w:themeColor="text1"/>
          <w:sz w:val="26"/>
          <w:szCs w:val="26"/>
          <w:shd w:val="clear" w:color="auto" w:fill="FFFFFF"/>
        </w:rPr>
      </w:pPr>
      <w:r w:rsidRPr="00AA344F">
        <w:rPr>
          <w:b/>
          <w:color w:val="000000" w:themeColor="text1"/>
          <w:sz w:val="26"/>
          <w:szCs w:val="26"/>
          <w:shd w:val="clear" w:color="auto" w:fill="FFFFFF"/>
        </w:rPr>
        <w:t>BÀI 3: Khuyến cáo ngừng lưu hành dịch truyền HES (hydroxyethyl-starch): Thông tin từ EMA</w:t>
      </w:r>
    </w:p>
    <w:p w14:paraId="7EA7D1AD" w14:textId="2A4E0A18"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xml:space="preserve">Ngày 11/2/2022, Uỷ ban Cảnh giác Dược của Cơ quan quản lý Dược phẩm Châu Âu (PRAC) vừa khuyến cáo ngừng lưu hành của dịch truyền chứa hydroxyethyl-starch (HES) trên toàn Châu Âu. Các chế phẩm này được cấp phép sử dụng trong trường hợp thay thế huyết thương sau khi mất máu cấp tính.  </w:t>
      </w:r>
    </w:p>
    <w:p w14:paraId="0368ADF5" w14:textId="0EE5F970"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Tính an toàn của dịch truyền HES đã được rà soát theo 2 quy trình độc lập năm 2013, và một số giới hạn, biện pháp quản lý đã được thực hiện để giảm thiểu nguy cơ tổn thương thận và tử vong ở một số bệnh nhân (như bệnh nhân nặng, có tổn thương bỏng hoặc sepsis, và nhiễm khuẩn huyết).</w:t>
      </w:r>
    </w:p>
    <w:p w14:paraId="5889C4EF" w14:textId="279EF270"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xml:space="preserve">Sau khi cuộc rà soát lần thứ 3 được thực hiện năm 2018, việc sử dụng dịch truyền HES được giới hạn hơn nữa ở một số bệnh viện và nhân viên y tế được đào tạo về cách kê đơn và sử dụng hợp lý các thuốc này. Ngoài ra, các cảnh báo bổ sung được đưa vào Tờ thông tin sản phẩm để nhắc nhở nhân viên y tế không sử dụng các thuốc này cho bệnh nhân sepsis, bệnh nhân suy giảm chức năng thận hoặc bệnh nhân dễ bị tổn thương khác như bệnh nhân nặng. Các biện pháp này được đưa ra nhằm đảm bảo không sử dụng dịch truyền HES khi thuốc có nguy cơ gây hại cho người bệnh. Nhà sản xuất cũng được yêu cầu thực hiện nghiên cứu đánh </w:t>
      </w:r>
      <w:r w:rsidRPr="00AA344F">
        <w:rPr>
          <w:color w:val="000000" w:themeColor="text1"/>
          <w:sz w:val="26"/>
          <w:szCs w:val="26"/>
          <w:shd w:val="clear" w:color="auto" w:fill="FFFFFF"/>
        </w:rPr>
        <w:lastRenderedPageBreak/>
        <w:t>giá sử dụng thuốc để xác định liệu các giới hạn sử dụng có được tuân thủ trong thực hành lâm sàng hay không và gửi kết quả đánh giá cho EMA.</w:t>
      </w:r>
    </w:p>
    <w:p w14:paraId="2C78BFB7" w14:textId="17C787BC"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PRAC đã rà soát kết quả từ nghiên cứu trên, kết quả cho thấy dịch truyền HES vẫn được sử dụng ngoài khuyến cáo của Tờ thông tin sản phẩm. Uỷ ban kết luận rằng các giới hạn bổ sung được đưa ra từ năm 2018 không đảm bảo việc sử dụng thuốc an toàn và dịch truyền HES tiếp tục được sử dụng ở nhóm bệnh nhân có nguy cơ gặp biến cố bất lợi nghiên trọng.</w:t>
      </w:r>
    </w:p>
    <w:p w14:paraId="7FBF50B2" w14:textId="5CAEF0FE"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xml:space="preserve">Việc tuân thủ các biện pháp quản lý được đưa ra năm 2018 là điều kiện đảm bảo an toàn khi sử dụng dịch truyền HES. Tuy nhiên, nghiên cứu chỉ ra các điều kiện này không được tuân thủ, do đó lợi ích của thuốc không còn vượt trội nguy cơ. PRAC đã đưa ra các biện pháp bổ sung nhằm đảm bảo dịch truyền HES được sử dụng theo Tờ thông tin sản phẩm, tuy nhiên, hiện cơ quan này kết luận rằng không có biện pháp khác hoặc phối hợp các biện pháp có tính khả thi và hiệu quả để bảo vệ người bệnh. Vì các nguy cơ nghiêm trọng có thể xảy ra ở một nhóm bệnh nhân, PRAC khuyến cáo ngừng lưu hành dịch truyền HES tại Châu Âu. Khuyến nghị này đã được gửi đến Nhóm điều phối thuốc sử dụng trên người được phê duyệt theo quy trình không tập trung và thừa nhận lẫn nhau (CMDh) của EMA và cơ quan này đã thông qua vào ngày 23/02/2022. Khuyến cáo của CMDh sẽ được gửi đến Ủy ban châu Âu để có quyết định pháp lý cuối cùng. </w:t>
      </w:r>
    </w:p>
    <w:p w14:paraId="17B8BE93" w14:textId="3E6014DE"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Thông tin dành cho bệnh nhân</w:t>
      </w:r>
    </w:p>
    <w:p w14:paraId="640071D0" w14:textId="27F2824C"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Dịch truyền HES là dịch truyền thay thế được sử dụng cho người bệnh mất máu do chấn thương hoặc phẫu thuật.</w:t>
      </w:r>
    </w:p>
    <w:p w14:paraId="2F326AD1" w14:textId="7170678B"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EMA đang khuyến cáo loại bỏ các thuốc này trên thị trường Châu Âu do nguy cơ gây hại nghiêm trọng (tổn thương thận và tử vong) ở một nhóm bệnh nhân.</w:t>
      </w:r>
    </w:p>
    <w:p w14:paraId="6321D2C5" w14:textId="5DD19A44"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Hiện đang có các lựa chọn điều trị cho dịch truyền HES tại Châu Âu.</w:t>
      </w:r>
    </w:p>
    <w:p w14:paraId="4448F1DE" w14:textId="77777777"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Thông tin dành cho nhân viên y tế</w:t>
      </w:r>
    </w:p>
    <w:p w14:paraId="1B66B67D" w14:textId="2C31E134"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Giấy phép lưu hành các chế phẩm dịch truyền HES đang được khuyến cáo ngừng lưu hành do nguy cơ tổn thương thận và tử vong ở một nhóm bệnh nhân, bao gồm bệnh nhân nặng và bệnh nhân sepsis.</w:t>
      </w:r>
    </w:p>
    <w:p w14:paraId="42388EE7" w14:textId="63D49C4E"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Mặc dù chống chỉ định và các cảnh báo đã được đưa ra năm 2013 và một số biện pháp bổ sung được thực hiện năm 2018, nghiên cứu đánh giá sử dụng thuốc mới nhất chỉ ra rằng dịch truyền HES vẫn tiếp tục được sử dụng không theo khuyến cáo trong Tờ thông tin sản phẩm, tình trạng này tiềm ẩn nguy cơ gây hại nghiêm trọng cho một nhóm bệnh nhân.</w:t>
      </w:r>
    </w:p>
    <w:p w14:paraId="3A0D291B" w14:textId="5A230E00"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Do không có biện pháp khác khả thi và hiệu quả nhằm giảm thiểu nguy cơ, EMA đang khuyến cáo ngừng sử dụng dịch truyền HES trên thị trường Châu Âu để bảo vệ sức khỏe người bệnh.</w:t>
      </w:r>
    </w:p>
    <w:p w14:paraId="267C32F2" w14:textId="749B66B7" w:rsidR="00E87DFC" w:rsidRPr="00AA344F" w:rsidRDefault="00E87DFC" w:rsidP="00C02562">
      <w:pPr>
        <w:spacing w:before="120" w:after="0"/>
        <w:ind w:firstLine="567"/>
        <w:jc w:val="both"/>
        <w:rPr>
          <w:color w:val="000000" w:themeColor="text1"/>
          <w:sz w:val="26"/>
          <w:szCs w:val="26"/>
          <w:shd w:val="clear" w:color="auto" w:fill="FFFFFF"/>
        </w:rPr>
      </w:pPr>
      <w:r w:rsidRPr="00AA344F">
        <w:rPr>
          <w:color w:val="000000" w:themeColor="text1"/>
          <w:sz w:val="26"/>
          <w:szCs w:val="26"/>
          <w:shd w:val="clear" w:color="auto" w:fill="FFFFFF"/>
        </w:rPr>
        <w:t>- Các phương pháp điều trị thay thế sẵn có khác nên được lựa chọn theo các Hướng dẫn lâm sàng.</w:t>
      </w:r>
    </w:p>
    <w:p w14:paraId="08C07DFC" w14:textId="051E5685" w:rsidR="00E87DFC" w:rsidRPr="00AA344F" w:rsidRDefault="00E87DFC" w:rsidP="00C02562">
      <w:pPr>
        <w:spacing w:before="120" w:after="0"/>
        <w:ind w:firstLine="567"/>
        <w:jc w:val="both"/>
        <w:rPr>
          <w:i/>
          <w:color w:val="000000" w:themeColor="text1"/>
          <w:sz w:val="26"/>
          <w:szCs w:val="26"/>
          <w:u w:val="single"/>
          <w:shd w:val="clear" w:color="auto" w:fill="FFFFFF"/>
        </w:rPr>
      </w:pPr>
      <w:r w:rsidRPr="00AA344F">
        <w:rPr>
          <w:i/>
          <w:color w:val="000000" w:themeColor="text1"/>
          <w:sz w:val="26"/>
          <w:szCs w:val="26"/>
          <w:shd w:val="clear" w:color="auto" w:fill="FFFFFF"/>
        </w:rPr>
        <w:t>Nguồn:</w:t>
      </w:r>
      <w:r w:rsidRPr="00AA344F">
        <w:rPr>
          <w:color w:val="000000" w:themeColor="text1"/>
          <w:sz w:val="26"/>
          <w:szCs w:val="26"/>
        </w:rPr>
        <w:t xml:space="preserve"> </w:t>
      </w:r>
      <w:hyperlink r:id="rId10" w:history="1">
        <w:r w:rsidRPr="00AA344F">
          <w:rPr>
            <w:rStyle w:val="Hyperlink"/>
            <w:i/>
            <w:color w:val="000000" w:themeColor="text1"/>
            <w:sz w:val="26"/>
            <w:szCs w:val="26"/>
            <w:shd w:val="clear" w:color="auto" w:fill="FFFFFF"/>
          </w:rPr>
          <w:t>http://canhgiacduoc.org.vn/</w:t>
        </w:r>
      </w:hyperlink>
    </w:p>
    <w:p w14:paraId="111F0342" w14:textId="42F5B651" w:rsidR="00430030" w:rsidRPr="00AA344F" w:rsidRDefault="00430030" w:rsidP="00C02562">
      <w:pPr>
        <w:spacing w:before="120" w:after="0"/>
        <w:rPr>
          <w:color w:val="000000" w:themeColor="text1"/>
          <w:sz w:val="26"/>
          <w:szCs w:val="26"/>
        </w:rPr>
      </w:pPr>
      <w:r w:rsidRPr="00AA344F">
        <w:rPr>
          <w:noProof/>
          <w:color w:val="000000" w:themeColor="text1"/>
          <w:sz w:val="26"/>
          <w:szCs w:val="26"/>
        </w:rPr>
        <w:lastRenderedPageBreak/>
        <mc:AlternateContent>
          <mc:Choice Requires="wps">
            <w:drawing>
              <wp:anchor distT="0" distB="0" distL="114300" distR="114300" simplePos="0" relativeHeight="251657216" behindDoc="0" locked="0" layoutInCell="1" allowOverlap="1" wp14:anchorId="58421447" wp14:editId="2BD23592">
                <wp:simplePos x="0" y="0"/>
                <wp:positionH relativeFrom="column">
                  <wp:posOffset>80010</wp:posOffset>
                </wp:positionH>
                <wp:positionV relativeFrom="paragraph">
                  <wp:posOffset>55880</wp:posOffset>
                </wp:positionV>
                <wp:extent cx="6038850" cy="353695"/>
                <wp:effectExtent l="76200" t="57150" r="95250" b="1225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3695"/>
                        </a:xfrm>
                        <a:prstGeom prst="rect">
                          <a:avLst/>
                        </a:prstGeom>
                        <a:solidFill>
                          <a:schemeClr val="accent5">
                            <a:lumMod val="60000"/>
                            <a:lumOff val="40000"/>
                          </a:schemeClr>
                        </a:solidFill>
                        <a:ln w="38100">
                          <a:solidFill>
                            <a:schemeClr val="lt1">
                              <a:lumMod val="95000"/>
                              <a:lumOff val="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3653DAA9" w14:textId="1252C3F5" w:rsidR="00AA344F" w:rsidRPr="00684AD5" w:rsidRDefault="00AA344F" w:rsidP="00430030">
                            <w:pPr>
                              <w:jc w:val="center"/>
                              <w:rPr>
                                <w:b/>
                                <w:sz w:val="32"/>
                                <w:szCs w:val="32"/>
                              </w:rPr>
                            </w:pPr>
                            <w:r>
                              <w:rPr>
                                <w:b/>
                                <w:sz w:val="32"/>
                                <w:szCs w:val="32"/>
                              </w:rPr>
                              <w:t>HƯỚNG DẪN SỬ DỤNG THUỐC AN TOÀN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21447" id="Text Box 7" o:spid="_x0000_s1027" type="#_x0000_t202" style="position:absolute;margin-left:6.3pt;margin-top:4.4pt;width:475.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" fillcolor="#9bc7ce [1944]" strokecolor="#f2f2f2 [3041]" strokeweight="3pt">
                <v:shadow on="t" color="#143e69 [1606]" opacity=".5" offset="1pt,.74833mm"/>
                <v:textbox>
                  <w:txbxContent>
                    <w:p w14:paraId="3653DAA9" w14:textId="1252C3F5" w:rsidR="00AA344F" w:rsidRPr="00684AD5" w:rsidRDefault="00AA344F" w:rsidP="00430030">
                      <w:pPr>
                        <w:jc w:val="center"/>
                        <w:rPr>
                          <w:b/>
                          <w:sz w:val="32"/>
                          <w:szCs w:val="32"/>
                        </w:rPr>
                      </w:pPr>
                      <w:r>
                        <w:rPr>
                          <w:b/>
                          <w:sz w:val="32"/>
                          <w:szCs w:val="32"/>
                        </w:rPr>
                        <w:t>HƯỚNG DẪN SỬ DỤNG THUỐC AN TOÀN</w:t>
                      </w:r>
                    </w:p>
                  </w:txbxContent>
                </v:textbox>
              </v:shape>
            </w:pict>
          </mc:Fallback>
        </mc:AlternateContent>
      </w:r>
    </w:p>
    <w:p w14:paraId="360242A4" w14:textId="77777777" w:rsidR="00CA6C16" w:rsidRPr="00AA344F" w:rsidRDefault="00CA6C16" w:rsidP="00C02562">
      <w:pPr>
        <w:spacing w:before="120" w:after="0"/>
        <w:jc w:val="center"/>
        <w:rPr>
          <w:b/>
          <w:color w:val="000000" w:themeColor="text1"/>
          <w:sz w:val="26"/>
          <w:szCs w:val="26"/>
        </w:rPr>
      </w:pPr>
    </w:p>
    <w:p w14:paraId="040F8B2A" w14:textId="57FF87E2" w:rsidR="00EA09A0" w:rsidRPr="00AA344F" w:rsidRDefault="008E2408" w:rsidP="00C02562">
      <w:pPr>
        <w:spacing w:before="120" w:after="0" w:line="240" w:lineRule="auto"/>
        <w:jc w:val="center"/>
        <w:rPr>
          <w:b/>
          <w:color w:val="000000" w:themeColor="text1"/>
        </w:rPr>
      </w:pPr>
      <w:r w:rsidRPr="00AA344F">
        <w:rPr>
          <w:b/>
          <w:color w:val="000000" w:themeColor="text1"/>
        </w:rPr>
        <w:t>BÀI 4</w:t>
      </w:r>
      <w:r w:rsidR="00EA09A0" w:rsidRPr="00AA344F">
        <w:rPr>
          <w:b/>
          <w:color w:val="000000" w:themeColor="text1"/>
        </w:rPr>
        <w:t xml:space="preserve">: ISMP: Tránh nhầm lẫn “Ibuprofen dạng giọt cho trẻ sơ sinh” </w:t>
      </w:r>
    </w:p>
    <w:p w14:paraId="7B881156" w14:textId="635A7FD4" w:rsidR="008A4DFB" w:rsidRPr="00AA344F" w:rsidRDefault="00EA09A0" w:rsidP="00C02562">
      <w:pPr>
        <w:spacing w:before="120" w:after="0" w:line="240" w:lineRule="auto"/>
        <w:jc w:val="center"/>
        <w:rPr>
          <w:b/>
          <w:color w:val="000000" w:themeColor="text1"/>
        </w:rPr>
      </w:pPr>
      <w:r w:rsidRPr="00AA344F">
        <w:rPr>
          <w:b/>
          <w:color w:val="000000" w:themeColor="text1"/>
        </w:rPr>
        <w:t>và “Ibuprofen cho trẻ em”</w:t>
      </w:r>
    </w:p>
    <w:p w14:paraId="74D1CEA4"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Ibuprofen là thuốc không kê đơn (OTC) mà cha mẹ có thể cho trẻ dùng để giảm đau nhẹ hoặc hạ sốt. Thuốc có dạng viên nhai (mỗi viên 100 mg) và dạng hỗn dịch uống (chất lỏng) cho trẻ em. Tuy nhiên, cha mẹ có thể không để ý rằng hỗn dịch uống có hai nồng độ khác nhau. Ibuprofen cho trẻ sơ sinh chứa 50 mg/1,25 mL (40 mg mỗi mL) và thường được gọi là “infant drops” sử dụng cho trẻ từ 6 đến 23 tháng tuổi, nặng từ 5,5 đến 10,5 kg. Do trẻ sơ sinh có thể không nuốt được một lượng lớn thuốc, nên ibuprofen cho trẻ sơ sinh có nồng độ cao hơn ibuprofen cho trẻ em.</w:t>
      </w:r>
    </w:p>
    <w:p w14:paraId="70017C6E" w14:textId="5F059D7E"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Ibuprofen cho trẻ em có hàm lượng 100 mg/5 mL (20 mg mỗi mL), sử dụng cho trẻ từ 2 đến 11 tuổi và nặng từ 10,9 đến 43,1 kg. Cho trẻ dùng ibuprofen của trẻ sơ sinh có nồng độ cao hơn có thể gây ra quá liều. Nếu cha mẹ cho trẻ sơ sinh dùng ibuprofen của trẻ em có nồng độ thấp hơn, trẻ sơ sinh có thể không sử dụng đủ thuốc để đạt hiệu quả điều trị. Nếu dùng quá liều ibuprofen, trẻ sơ sinh có thể có dấu hiệu buồn ngủ và quấy khóc, hoặc khó thở nếu quá liều nghiêm trọng. Trẻ em uống thuốc quá liềucó thể buồn nôn, nôn, tiêu chảy, nhức đầu, xuất huyết dạ dày và tổn thương thận.</w:t>
      </w:r>
    </w:p>
    <w:p w14:paraId="6D9580F6" w14:textId="77777777" w:rsidR="00EA09A0" w:rsidRPr="00AA344F" w:rsidRDefault="00EA09A0" w:rsidP="00C02562">
      <w:pPr>
        <w:spacing w:before="120" w:after="0"/>
        <w:ind w:firstLine="567"/>
        <w:jc w:val="both"/>
        <w:rPr>
          <w:b/>
          <w:color w:val="000000" w:themeColor="text1"/>
          <w:sz w:val="26"/>
          <w:szCs w:val="26"/>
        </w:rPr>
      </w:pPr>
      <w:r w:rsidRPr="00AA344F">
        <w:rPr>
          <w:b/>
          <w:color w:val="000000" w:themeColor="text1"/>
          <w:sz w:val="26"/>
          <w:szCs w:val="26"/>
        </w:rPr>
        <w:t>Sự nhầm lẫn xảy ra như thế nào?</w:t>
      </w:r>
    </w:p>
    <w:p w14:paraId="48213323" w14:textId="3AA41A83"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xml:space="preserve">Hầu hết các cửa hàng và hiệu thuốc thường bán cả hai loại ibuprofen cho trẻ sơ sinh và trẻ em với nồng độ khác nhau. Các nhãn hộp và chai lọ của hai nồng độ này đôi khi trông giống nhau, khiến cha mẹ khó phân biệt. Vì vậy, cha mẹ có thể mua nhầm nồng độ ibuprofen hỗn dịch.                        </w:t>
      </w:r>
    </w:p>
    <w:p w14:paraId="78756977"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Ngoài ra, sự nhầm lẫn có thể xảy ra liên quan đến các hướng dẫn mà cha mẹ nhận được khi con họ xuất viện. Nếu bác sĩ muốn cha mẹ cho con dùng ibuprofen ở nhà, họ thường kê liều lượng chính xác tính bằng miligam (mg). Nhưng thuốc dạng lỏng được kê cho trẻ có đơn vị mililit (mL). Vì vậy, trong hướng dẫn sử dụng thuốc ở nhà, một số hệ thống máy tính của bệnh viện sẽ tự động chuyển đổi liều mg thành lượng mL để giúp cha mẹ đo lường chính xác từng liều. Điều này có thể gây ra nhầm lẫn nếu nồng độ ibuprofen mà cha mẹ mua hoặc có ở nhà khác với nồng độ mà hệ thống máy tính của bệnh viện sử dụng để chuyển đổi liều lượng.</w:t>
      </w:r>
    </w:p>
    <w:p w14:paraId="0ABFBAE5" w14:textId="4B5BEAC6" w:rsidR="00EA09A0" w:rsidRPr="00AA344F" w:rsidRDefault="00EA09A0" w:rsidP="00C02562">
      <w:pPr>
        <w:spacing w:before="120" w:after="0"/>
        <w:ind w:firstLine="567"/>
        <w:jc w:val="both"/>
        <w:rPr>
          <w:b/>
          <w:color w:val="000000" w:themeColor="text1"/>
          <w:sz w:val="26"/>
          <w:szCs w:val="26"/>
        </w:rPr>
      </w:pPr>
      <w:r w:rsidRPr="00AA344F">
        <w:rPr>
          <w:b/>
          <w:color w:val="000000" w:themeColor="text1"/>
          <w:sz w:val="26"/>
          <w:szCs w:val="26"/>
        </w:rPr>
        <w:t>Ví dụ về sự nhầm lẫn</w:t>
      </w:r>
    </w:p>
    <w:p w14:paraId="3712E24A" w14:textId="32D7389B"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xml:space="preserve">Một bệnh viện đã báo cáo về một trường hợp gần đây liên quan đến em bé 13 tháng tuổi xuất viện từ khoa cấp cứu. Mẹ của bé lo lắng vì đã quen với việc cho con uống ít hơn 2 mL ibuprofen. Người mẹ có một lọ thuốc cho trẻ sơ sinh với nồng độ cao hơn ở nhà (50 mg/1,25 mL). Bà mẹ thường cho con uống 1,85 mL ibuprofen dành cho trẻ sơ sinh, theo hướng dẫn trên nhãn cho đứa con nặng 8,6 kg. Tuy nhiên, hướng dẫn khi xuất viện ghi trẻ cần uống 4,3 mL ibuprofen mỗi lần. Người mẹ đã gọi điện đến bệnh viện để thắc mắc về liều dùng. Khi tìm hiểu, bác sĩ đã kê 86 mg ibuprofen mỗi 6 giờ khi cần thiết. Nhưng máy tính đã chuyển đổi </w:t>
      </w:r>
      <w:r w:rsidRPr="00AA344F">
        <w:rPr>
          <w:color w:val="000000" w:themeColor="text1"/>
          <w:sz w:val="26"/>
          <w:szCs w:val="26"/>
        </w:rPr>
        <w:lastRenderedPageBreak/>
        <w:t>86 mg thành 4,3 mL ibuprofen dành cho trẻ em với nồng độthấp hơn (100 mg/5 mL). Sau đó, y tá bệnh viện đã giải thích cho người mẹ biết lượng ibuprofen phù hợp mỗi lần sau khi xác định hàm lượng của chế phẩm đang có tại nhà.</w:t>
      </w:r>
    </w:p>
    <w:p w14:paraId="496DD7D1" w14:textId="05A36110"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Trong một trường hợp khác, bác sĩ kê ibuprofen 70 mg mỗi 6 giờ cho một em bé 11 tháng tuổi sắp xuất viện. Hướng dẫn khi xuất viện là cho trẻ uống 3,5 ml/liều. Một lần nữa, máy tính đã sử dụng ibuprofen dành cho trẻ em với nồng độ ít đậm đặc hơn (100 mg/ 5 mL) để xác định lượng dùng cho mỗi liều. Nhưng không may mẹ của em bé đã mua nhầm thuốc dạng giọt dành cho trẻ sơ sinh với nồng độ cao hơn (50 mg / 1,25 mL) và cho bé uống 3,5 mL/ liều . Do đó, thay vì nhận được 70 mg, em bé đã nhận được 140 mg/liều. May mắn là đứa trẻ không gặp biến cố bất lợi.</w:t>
      </w:r>
    </w:p>
    <w:p w14:paraId="5BE4F956" w14:textId="17A14CE5"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Đây là những gì cha mẹ trẻ có thể làm: Để xác định liều an toàn cho trẻ, bạn cần biết cân nặng của con và nồng độ thuốc ibuprofen. Tốt nhất, chỉ nên có một nồng độ thuốc ibuprofen, tương tự acetaminophen. Nhằm giảm nguy cơ cũng như phản ứng có hại nghiêm trọng khi dùng quá liều ibuprofen, bạn hãy thực hiện các bước sau:</w:t>
      </w:r>
    </w:p>
    <w:p w14:paraId="3EEBE31D"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Khi nói chuyện với bác sĩ, hãy cho họ biết cân nặng của trẻ và nồng độ ibuprofen bạn đang có hoặc sẽ mua. Để rõ ràng hơn, hãy gọi ibuprofen với nồng độ cao hơn (50 mg/1,25 mL) là “thuốc dạng giọt cho trẻ sơ sinh”, còn dạng có nồng độ thấp hơn (100 mg/5 mL) là “ibuprofen cho trẻ em”.</w:t>
      </w:r>
    </w:p>
    <w:p w14:paraId="65A73B2B"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Trước khi bạn rời bệnh viện hoặc nơi cung cấp dịch vụ y tế, hãy chắc chắn rằng bạn đã hiểu liều lượng (mg) và thể tích (mL) cho mỗi liều dựa trên nồng độ bạn sẽ sử dụng.</w:t>
      </w:r>
    </w:p>
    <w:p w14:paraId="1F6BD580"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Luôn đọc và làm theo hướng dẫn trên nhãn ibuprofen của loại thuốc cụ thể mà bạn đang sử dụng.</w:t>
      </w:r>
    </w:p>
    <w:p w14:paraId="65BBEF9C"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Đong cẩn thận từng liều bằng cách sử dụng cốc định lượng hoặc xy lanh uống đi kèm với thuốc; không bao giờ sử dụng thìa đong, muỗng canh, hoặc muỗng cà phê gia dụng.</w:t>
      </w:r>
    </w:p>
    <w:p w14:paraId="4AA79816"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Đọc lại hướng dẫn trước khi dùng thuốc. Khi trẻ lớn hơn, thì liều của thuốc cho trẻ cũng thay đổi theo thời gian.</w:t>
      </w:r>
    </w:p>
    <w:p w14:paraId="17AF7689"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Không bao giờ dùng nhiều hơn bốn liều trong một ngày. Ghi lại thời gian mỗi liều được dùng và đợi 6 giờ trước khi dùng liều tiếp theo. Việc dùng một liều khác quá sớm có thể dẫn đến các tác dụng phụ nghiêm trọng.</w:t>
      </w:r>
    </w:p>
    <w:p w14:paraId="125C1118" w14:textId="7777777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Không cho trẻ dưới6 tháng tuổi sử dụng ibuprofen, trừ khi có chỉ định của bác sĩ.</w:t>
      </w:r>
    </w:p>
    <w:p w14:paraId="099ED52F" w14:textId="70AA9BF7" w:rsidR="00EA09A0" w:rsidRPr="00AA344F" w:rsidRDefault="00EA09A0" w:rsidP="00C02562">
      <w:pPr>
        <w:spacing w:before="120" w:after="0"/>
        <w:ind w:firstLine="567"/>
        <w:jc w:val="both"/>
        <w:rPr>
          <w:color w:val="000000" w:themeColor="text1"/>
          <w:sz w:val="26"/>
          <w:szCs w:val="26"/>
        </w:rPr>
      </w:pPr>
      <w:r w:rsidRPr="00AA344F">
        <w:rPr>
          <w:color w:val="000000" w:themeColor="text1"/>
          <w:sz w:val="26"/>
          <w:szCs w:val="26"/>
        </w:rPr>
        <w:t>- Nếu trẻ đã sử dụng thuốc nhiều hơn liều khuyến cáo, hãy liên hệ với trung tâm chống độc địa phương.Cung cấp thông tin về tuổi, cân nặng, giới tính của con bạn, lượng ibuprofen đã được dùng và thời điểm sử dụng liều cuối cùng. Nếu bạn không thể gọi điện, hãy đến phòng cấp cứu gần nhất ngay lập tức. Đừng đợi cho đến khi các triệu chứng bắt đầu, vì triệu chứng của một số trẻ sẽ không biểu hiện ngay.</w:t>
      </w:r>
    </w:p>
    <w:p w14:paraId="0C870898" w14:textId="7003E984" w:rsidR="00EA09A0" w:rsidRPr="00AA344F" w:rsidRDefault="00EA09A0" w:rsidP="00C02562">
      <w:pPr>
        <w:spacing w:before="120" w:after="0"/>
        <w:ind w:firstLine="567"/>
        <w:jc w:val="both"/>
        <w:rPr>
          <w:rStyle w:val="Hyperlink"/>
          <w:i/>
          <w:color w:val="000000" w:themeColor="text1"/>
          <w:sz w:val="26"/>
          <w:szCs w:val="26"/>
          <w:shd w:val="clear" w:color="auto" w:fill="FFFFFF"/>
        </w:rPr>
      </w:pPr>
      <w:r w:rsidRPr="00AA344F">
        <w:rPr>
          <w:i/>
          <w:color w:val="000000" w:themeColor="text1"/>
          <w:sz w:val="26"/>
          <w:szCs w:val="26"/>
          <w:shd w:val="clear" w:color="auto" w:fill="FFFFFF"/>
        </w:rPr>
        <w:t>Nguồn:</w:t>
      </w:r>
      <w:r w:rsidRPr="00AA344F">
        <w:rPr>
          <w:color w:val="000000" w:themeColor="text1"/>
          <w:sz w:val="26"/>
          <w:szCs w:val="26"/>
        </w:rPr>
        <w:t xml:space="preserve"> </w:t>
      </w:r>
      <w:hyperlink r:id="rId11" w:history="1">
        <w:r w:rsidRPr="00AA344F">
          <w:rPr>
            <w:rStyle w:val="Hyperlink"/>
            <w:i/>
            <w:color w:val="000000" w:themeColor="text1"/>
            <w:sz w:val="26"/>
            <w:szCs w:val="26"/>
            <w:shd w:val="clear" w:color="auto" w:fill="FFFFFF"/>
          </w:rPr>
          <w:t>http://canhgiacduoc.org.vn/</w:t>
        </w:r>
      </w:hyperlink>
    </w:p>
    <w:p w14:paraId="77E9EF86" w14:textId="77777777" w:rsidR="00C02562" w:rsidRPr="00AA344F" w:rsidRDefault="00C02562" w:rsidP="00C02562">
      <w:pPr>
        <w:spacing w:before="120" w:after="0"/>
        <w:ind w:firstLine="567"/>
        <w:jc w:val="both"/>
        <w:rPr>
          <w:i/>
          <w:color w:val="000000" w:themeColor="text1"/>
          <w:sz w:val="26"/>
          <w:szCs w:val="26"/>
          <w:shd w:val="clear" w:color="auto" w:fill="FFFFFF"/>
        </w:rPr>
      </w:pPr>
    </w:p>
    <w:p w14:paraId="550E947A" w14:textId="3915AFBE" w:rsidR="006112F2" w:rsidRPr="00AA344F" w:rsidRDefault="008E2408" w:rsidP="00C02562">
      <w:pPr>
        <w:spacing w:before="120" w:after="0"/>
        <w:ind w:firstLine="567"/>
        <w:jc w:val="center"/>
        <w:rPr>
          <w:b/>
          <w:color w:val="000000" w:themeColor="text1"/>
        </w:rPr>
      </w:pPr>
      <w:r w:rsidRPr="00AA344F">
        <w:rPr>
          <w:b/>
          <w:color w:val="000000" w:themeColor="text1"/>
        </w:rPr>
        <w:lastRenderedPageBreak/>
        <w:t>BÀI 5</w:t>
      </w:r>
      <w:r w:rsidR="00EA09A0" w:rsidRPr="00AA344F">
        <w:rPr>
          <w:b/>
          <w:color w:val="000000" w:themeColor="text1"/>
        </w:rPr>
        <w:t xml:space="preserve">: </w:t>
      </w:r>
      <w:r w:rsidR="006112F2" w:rsidRPr="00AA344F">
        <w:rPr>
          <w:b/>
          <w:color w:val="000000" w:themeColor="text1"/>
        </w:rPr>
        <w:t xml:space="preserve">KÊ ĐƠN AN TOÀN: COLCHICIN – ĐỘC TÍNH </w:t>
      </w:r>
    </w:p>
    <w:p w14:paraId="336174D4" w14:textId="0E5DAAF7" w:rsidR="00EA09A0" w:rsidRPr="00AA344F" w:rsidRDefault="006112F2" w:rsidP="00C02562">
      <w:pPr>
        <w:spacing w:before="120" w:after="0"/>
        <w:ind w:firstLine="567"/>
        <w:jc w:val="center"/>
        <w:rPr>
          <w:b/>
          <w:color w:val="000000" w:themeColor="text1"/>
        </w:rPr>
      </w:pPr>
      <w:r w:rsidRPr="00AA344F">
        <w:rPr>
          <w:b/>
          <w:color w:val="000000" w:themeColor="text1"/>
        </w:rPr>
        <w:t>NGHIÊM TRỌNG KHI QUÁ LIỀU</w:t>
      </w:r>
    </w:p>
    <w:p w14:paraId="78E0B77D" w14:textId="345FA4F4"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Colchicin là alcaloid có nguồn gốc thực vật, chiết xuất từ các loài thực vật Colchium autumnale (tỏi độc, bả chó, thu thủy tiên) và Gloriosa superba (ngọt nghẹo) được dùng để điều trị gút và một số bệnh lý viêm. Colchicin được coi là thuốc có nguy cơ cao do có thể gây độc tính nghiêm trọng nếu không được sử dụng đúng cách.</w:t>
      </w:r>
    </w:p>
    <w:p w14:paraId="0120B795" w14:textId="69118552"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Từ lâu, colchicin đã được dùng để điều trị đợt gút cấp nhờ đặc tính kháng viêm của thuốc. Mặc dù không phải là chỉ định được phê duyệt (ở New Zealand), colchicin cũng được dùng để dự phòng đợt gút cấp, đặc biệt trong vài tháng đầu sử dụng thuốc hạ urat (thường là allopurinol). Colchicin ức chế sự di chuyển, hóa ứng động, sự bám dính và thực bào của bạch cầu trung tính tại ổ viêm. Thuốc làm giảm phản ứng viêm với tinh thể urat, tuy nhiên không có tác dụng đối với sự sản xuất hay thải trừ acid uric.</w:t>
      </w:r>
    </w:p>
    <w:p w14:paraId="39FD8526" w14:textId="60347992"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Thuốc chống viêm không steroid (NSAIDs) (như naproxen) và corticosteroid liều thấp cũng được dùng để điều trị đợt gút cấp và dự phòng đợt gút cấp trong giai đoạn điều trị khởi đầu bằng thuốc hạ urat. Với đa số bệnh nhân, NSAIDs gây ít tác dụng không mong muốn và nguy cơ gây độc thấp hơn colchicin, nên có thể cân nhắc là liệu pháp điều trị ưu tiên. Tuy vậy, colchicin hiện vẫn là lựa chọn quan trọng do thuốc đặc biệt có hiệu quả trên bệnh nhân có bệnh lý mắc kèm bao gồm đái tháo đường, suy thận, loét tiêu hóa, là đối tượng mà NSAIDs và corticosteroid có thể gây những tác dụng không mong muốn rõ rệt.</w:t>
      </w:r>
    </w:p>
    <w:p w14:paraId="4DE9E363" w14:textId="77777777" w:rsidR="006112F2" w:rsidRPr="00AA344F" w:rsidRDefault="006112F2" w:rsidP="00C02562">
      <w:pPr>
        <w:spacing w:before="120" w:after="0"/>
        <w:ind w:firstLine="567"/>
        <w:jc w:val="both"/>
        <w:rPr>
          <w:b/>
          <w:color w:val="000000" w:themeColor="text1"/>
          <w:sz w:val="26"/>
          <w:szCs w:val="26"/>
        </w:rPr>
      </w:pPr>
      <w:r w:rsidRPr="00AA344F">
        <w:rPr>
          <w:b/>
          <w:color w:val="000000" w:themeColor="text1"/>
          <w:sz w:val="26"/>
          <w:szCs w:val="26"/>
        </w:rPr>
        <w:t>Colchicin có thể có độc tính nghiêm trọng và gây tử vong</w:t>
      </w:r>
    </w:p>
    <w:p w14:paraId="50F2A512" w14:textId="5828CDA0"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Colchicin là thuốc có khoảng điều trị hẹp, nghĩa là khoảng cách giữa mức liều điều trị và mức liều gây độc rất nhỏ, thậm chí trong một số trường hợp có thể đan xen nhau. Quá liều cấp với mức liều trên 0,5 mg/kg cân nặng thường gây tử vong. Một số ít trường hợp tử vong cũng đã được ghi nhận ở mức liều thấp hơn (7 mg). Colchicin đặc biệt độc với trẻ em, chỉ cần vô tình uống 1 hoặc 2 viên thuốc cũng có thể gây ngộ độc nghiêm trọng.</w:t>
      </w:r>
    </w:p>
    <w:p w14:paraId="0DFFEB57" w14:textId="38B0F821" w:rsidR="006112F2" w:rsidRPr="00AA344F" w:rsidRDefault="006112F2" w:rsidP="00C02562">
      <w:pPr>
        <w:spacing w:before="120" w:after="0"/>
        <w:ind w:firstLine="567"/>
        <w:jc w:val="both"/>
        <w:rPr>
          <w:b/>
          <w:color w:val="000000" w:themeColor="text1"/>
          <w:sz w:val="26"/>
          <w:szCs w:val="26"/>
        </w:rPr>
      </w:pPr>
      <w:r w:rsidRPr="00AA344F">
        <w:rPr>
          <w:b/>
          <w:color w:val="000000" w:themeColor="text1"/>
          <w:sz w:val="26"/>
          <w:szCs w:val="26"/>
        </w:rPr>
        <w:t>Rối loạn tiêu hóa thường là dấu hiệu ngộ độc đầu tiên</w:t>
      </w:r>
    </w:p>
    <w:p w14:paraId="0C38FD06" w14:textId="445D69E1"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Đau bụng, tiêu chảy, buồn nôn và nôn mửa thường là những triệu chứng đầu tiên của ngộ độc colchicin. Cảm giác nóng rát họng, bụng hoặc trên da cũng đã được báo cáo. Các triệu chứng này, đặc biệt là tiêu chảy, cũng có thể xảy ra ở liều điều trị. Các biểu hiện tiếp theo của ngộ độc (từ 24 giờ đến 7 ngày sau khi uống) bao gồm thở nhanh, rối loạn điện giải (hạ calci máu, hạ phosphat máu), giảm thể tích tuần hoàn, rối loạn huyết học (giảm bạch cầu, giảm tiểu cầu), loạn nhịp, suy thận và tổn thương gan. Tử vong thường do suy đa tạng tiến triển và nhiễm trùng.</w:t>
      </w:r>
    </w:p>
    <w:p w14:paraId="636DEC07" w14:textId="61C60289" w:rsidR="006112F2" w:rsidRPr="00AA344F" w:rsidRDefault="006112F2" w:rsidP="00C02562">
      <w:pPr>
        <w:spacing w:before="120" w:after="0"/>
        <w:ind w:firstLine="567"/>
        <w:jc w:val="both"/>
        <w:rPr>
          <w:b/>
          <w:color w:val="000000" w:themeColor="text1"/>
          <w:sz w:val="26"/>
          <w:szCs w:val="26"/>
        </w:rPr>
      </w:pPr>
      <w:r w:rsidRPr="00AA344F">
        <w:rPr>
          <w:b/>
          <w:color w:val="000000" w:themeColor="text1"/>
          <w:sz w:val="26"/>
          <w:szCs w:val="26"/>
        </w:rPr>
        <w:t>Tác dụng không mong muốn có thể xuất hiện ở liều “an toàn”</w:t>
      </w:r>
    </w:p>
    <w:p w14:paraId="4E7CC837" w14:textId="605096AA"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 xml:space="preserve">Trước năm 2005, hướng dẫn sử dụng colchicin khuyến cáo tiếp tục sử dụng thuốc đến khi kiểm soát được cơn đau hoặc xuất hiện tác dụng không mong muốn trên tiêu hóa. Hiện nay, hướng dẫn này đã được điều chỉnh để đảm bảo an toàn cho người bệnh. Theo đó, khuyến </w:t>
      </w:r>
      <w:r w:rsidRPr="00AA344F">
        <w:rPr>
          <w:color w:val="000000" w:themeColor="text1"/>
          <w:sz w:val="26"/>
          <w:szCs w:val="26"/>
        </w:rPr>
        <w:lastRenderedPageBreak/>
        <w:t>cáo ngừng sử dụng colchicin ngay nếu xuất hiện đau thượng vị, tiêu chảy, buồn nôn hoặc nôn, hoặc có cảm giác nóng rát ở họng, dạ dày hoặc trên da.</w:t>
      </w:r>
    </w:p>
    <w:p w14:paraId="0D5630A4" w14:textId="337F0890" w:rsidR="006112F2" w:rsidRPr="00AA344F" w:rsidRDefault="006112F2" w:rsidP="00C02562">
      <w:pPr>
        <w:spacing w:before="120" w:after="0"/>
        <w:ind w:firstLine="567"/>
        <w:jc w:val="both"/>
        <w:rPr>
          <w:color w:val="000000" w:themeColor="text1"/>
          <w:sz w:val="26"/>
          <w:szCs w:val="26"/>
        </w:rPr>
      </w:pPr>
      <w:r w:rsidRPr="00AA344F">
        <w:rPr>
          <w:color w:val="000000" w:themeColor="text1"/>
          <w:sz w:val="26"/>
          <w:szCs w:val="26"/>
        </w:rPr>
        <w:t>Liều dùng khuyến cáo hiện nay tại New Zealand của colchicin trong điều trị gút được trình bày trong bảng 1. Trên thế giới, đặc biệt ở Úc và Mỹ, còn khuyến cáo sử dụng colchicin với liều thấp hơn. Một nghiên cứu so sánh colchicin liều thấp (1,2 mg, tiếp đó là 0,6 mg trong 1 giờ; tổng liều 1,8 mg) với liều cao (1,2 mg, tiếp đó là 0,6 mg mỗi giờ trong 6 giờ; tổng liều 4,8 mg) cho thấy hiệu quả tương đương giữa 2 chế độ liều, nhưng tỷ lệ tác dụng không mong muốn giảm đáng kể ở chế độ liều thấp.</w:t>
      </w:r>
    </w:p>
    <w:p w14:paraId="3A746E6B" w14:textId="133CC09A" w:rsidR="006112F2" w:rsidRPr="00AA344F" w:rsidRDefault="000350B2" w:rsidP="00C02562">
      <w:pPr>
        <w:tabs>
          <w:tab w:val="left" w:pos="720"/>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Theo hướng dẫn về liều colchicin để điều trị đợt gút cấp trong Dược thư Quốc gia Việt Nam năm 2012 (tập I), tổng liều trung bình colchicin uống trong một đợt điều trị là 4-6 mg và cũng không được uống lặp lại liệu trình này trong vòng 3 ngày để tránh nguy cơ ngộ độc do tích tụ colchicin. Hướng dẫn chẩn đoán và điều trị các bệnh về cơ xương khớp năm 2014 (ban hành kèm theo quyết định số 361/QĐ-BYT ngày 25/01/2014 của Bộ trưởng Bộ Y tế) cũng hướng dẫn không nên sử dụng colchicin liều cao để chống viêm, giảm đau trong cơn gút cấp hoặc đợt cấp của gút mạn vì có tác dụng không mong muốn. Colchicin cũng được khuyến cáo sử dụng trong phẫu thuật cắt bỏ hạt tôphi nhằm tránh khởi phát cơn gút cấp và cần kết hợp với thuốc hạ acid uric máu.</w:t>
      </w:r>
    </w:p>
    <w:tbl>
      <w:tblPr>
        <w:tblStyle w:val="TableGrid"/>
        <w:tblW w:w="0" w:type="auto"/>
        <w:tblLook w:val="04A0" w:firstRow="1" w:lastRow="0" w:firstColumn="1" w:lastColumn="0" w:noHBand="0" w:noVBand="1"/>
      </w:tblPr>
      <w:tblGrid>
        <w:gridCol w:w="3510"/>
        <w:gridCol w:w="6489"/>
      </w:tblGrid>
      <w:tr w:rsidR="00AA344F" w:rsidRPr="00AA344F" w14:paraId="411B7191" w14:textId="77777777" w:rsidTr="00C02562">
        <w:trPr>
          <w:trHeight w:val="701"/>
        </w:trPr>
        <w:tc>
          <w:tcPr>
            <w:tcW w:w="9999" w:type="dxa"/>
            <w:gridSpan w:val="2"/>
          </w:tcPr>
          <w:p w14:paraId="1549890D" w14:textId="0AD8657C" w:rsidR="006112F2" w:rsidRPr="00AA344F" w:rsidRDefault="006112F2" w:rsidP="00C02562">
            <w:pPr>
              <w:spacing w:before="120"/>
              <w:jc w:val="center"/>
              <w:rPr>
                <w:b/>
                <w:color w:val="000000" w:themeColor="text1"/>
                <w:sz w:val="26"/>
                <w:szCs w:val="26"/>
              </w:rPr>
            </w:pPr>
            <w:r w:rsidRPr="00AA344F">
              <w:rPr>
                <w:b/>
                <w:color w:val="000000" w:themeColor="text1"/>
                <w:sz w:val="26"/>
                <w:szCs w:val="26"/>
              </w:rPr>
              <w:t>Bảng 1: Chế độ liều khuyến cáo của colchicin trong điều trị gút ở New Zealand</w:t>
            </w:r>
          </w:p>
        </w:tc>
      </w:tr>
      <w:tr w:rsidR="00AA344F" w:rsidRPr="00AA344F" w14:paraId="5ED5CCD4" w14:textId="77777777" w:rsidTr="00C02562">
        <w:trPr>
          <w:trHeight w:val="693"/>
        </w:trPr>
        <w:tc>
          <w:tcPr>
            <w:tcW w:w="3510" w:type="dxa"/>
          </w:tcPr>
          <w:p w14:paraId="54E0AA35" w14:textId="1681B63F" w:rsidR="006112F2" w:rsidRPr="00AA344F" w:rsidRDefault="006112F2" w:rsidP="00C02562">
            <w:pPr>
              <w:spacing w:before="120"/>
              <w:jc w:val="center"/>
              <w:rPr>
                <w:b/>
                <w:color w:val="000000" w:themeColor="text1"/>
                <w:sz w:val="26"/>
                <w:szCs w:val="26"/>
              </w:rPr>
            </w:pPr>
            <w:r w:rsidRPr="00AA344F">
              <w:rPr>
                <w:b/>
                <w:color w:val="000000" w:themeColor="text1"/>
                <w:sz w:val="26"/>
                <w:szCs w:val="26"/>
              </w:rPr>
              <w:t>Chỉ định</w:t>
            </w:r>
          </w:p>
        </w:tc>
        <w:tc>
          <w:tcPr>
            <w:tcW w:w="6489" w:type="dxa"/>
          </w:tcPr>
          <w:p w14:paraId="49EE879F" w14:textId="2B4998E5" w:rsidR="006112F2" w:rsidRPr="00AA344F" w:rsidRDefault="006112F2" w:rsidP="00C02562">
            <w:pPr>
              <w:spacing w:before="120"/>
              <w:jc w:val="center"/>
              <w:rPr>
                <w:b/>
                <w:color w:val="000000" w:themeColor="text1"/>
                <w:sz w:val="26"/>
                <w:szCs w:val="26"/>
              </w:rPr>
            </w:pPr>
            <w:r w:rsidRPr="00AA344F">
              <w:rPr>
                <w:b/>
                <w:color w:val="000000" w:themeColor="text1"/>
                <w:sz w:val="26"/>
                <w:szCs w:val="26"/>
              </w:rPr>
              <w:t>Liều dùng</w:t>
            </w:r>
          </w:p>
        </w:tc>
      </w:tr>
      <w:tr w:rsidR="00AA344F" w:rsidRPr="00AA344F" w14:paraId="01FCBD5C" w14:textId="77777777" w:rsidTr="00C02562">
        <w:trPr>
          <w:trHeight w:val="4803"/>
        </w:trPr>
        <w:tc>
          <w:tcPr>
            <w:tcW w:w="3510" w:type="dxa"/>
          </w:tcPr>
          <w:p w14:paraId="4B1FDAB3" w14:textId="2DF78824" w:rsidR="006112F2" w:rsidRPr="00AA344F" w:rsidRDefault="006112F2" w:rsidP="00C02562">
            <w:pPr>
              <w:spacing w:before="120"/>
              <w:jc w:val="both"/>
              <w:rPr>
                <w:color w:val="000000" w:themeColor="text1"/>
                <w:sz w:val="26"/>
                <w:szCs w:val="26"/>
              </w:rPr>
            </w:pPr>
            <w:r w:rsidRPr="00AA344F">
              <w:rPr>
                <w:color w:val="000000" w:themeColor="text1"/>
                <w:sz w:val="26"/>
                <w:szCs w:val="26"/>
              </w:rPr>
              <w:t>Điều trị đợt gút cấp</w:t>
            </w:r>
          </w:p>
        </w:tc>
        <w:tc>
          <w:tcPr>
            <w:tcW w:w="6489" w:type="dxa"/>
          </w:tcPr>
          <w:p w14:paraId="034548AC" w14:textId="77777777" w:rsidR="006112F2" w:rsidRPr="00AA344F" w:rsidRDefault="006112F2" w:rsidP="00C02562">
            <w:pPr>
              <w:spacing w:before="120"/>
              <w:jc w:val="both"/>
              <w:rPr>
                <w:color w:val="000000" w:themeColor="text1"/>
                <w:sz w:val="26"/>
                <w:szCs w:val="26"/>
              </w:rPr>
            </w:pPr>
            <w:r w:rsidRPr="00AA344F">
              <w:rPr>
                <w:color w:val="000000" w:themeColor="text1"/>
                <w:sz w:val="26"/>
                <w:szCs w:val="26"/>
              </w:rPr>
              <w:t>1 mg, tiếp đó 500 microgam mỗi 6 giờ đến khi hết triệu chứng đau, đến liều tối đa 2,5 mg (5 viên nén hàm lượng 500 microgam) trong ngày đầu; tối đa 1,5 mg (3 viên nén) trong các ngày tiếp theo; tổng cộng tối đa 6 mg (12 viên nén) trong 4 ngày. Không lặp lại liệu trình này trong vòng 3 ngày.</w:t>
            </w:r>
          </w:p>
          <w:p w14:paraId="1401A02A" w14:textId="77777777" w:rsidR="006112F2" w:rsidRPr="00AA344F" w:rsidRDefault="006112F2" w:rsidP="00C02562">
            <w:pPr>
              <w:spacing w:before="120"/>
              <w:jc w:val="both"/>
              <w:rPr>
                <w:color w:val="000000" w:themeColor="text1"/>
                <w:sz w:val="26"/>
                <w:szCs w:val="26"/>
              </w:rPr>
            </w:pPr>
          </w:p>
          <w:p w14:paraId="2015DE45" w14:textId="1D6A2F26" w:rsidR="006112F2" w:rsidRPr="00AA344F" w:rsidRDefault="006112F2" w:rsidP="00C02562">
            <w:pPr>
              <w:spacing w:before="120"/>
              <w:jc w:val="both"/>
              <w:rPr>
                <w:color w:val="000000" w:themeColor="text1"/>
                <w:sz w:val="26"/>
                <w:szCs w:val="26"/>
              </w:rPr>
            </w:pPr>
            <w:r w:rsidRPr="00AA344F">
              <w:rPr>
                <w:color w:val="000000" w:themeColor="text1"/>
                <w:sz w:val="26"/>
                <w:szCs w:val="26"/>
              </w:rPr>
              <w:t>Chú ý: Người cao tuổi, bệnh nhân có suy giảm chức năng gan hoặc thận, hoặc có cân nặng dưới 50 kg, nếu có chỉ định dùng colchicin thì liều khởi đầu không nên vượt quá 1 mg (2 viên nén 500 microgam) trong 24 giờ đầu; tổng cộng tối đa 3 mg (6 viên nén) trong 4 ngày. Không lặp lại liệu trình này trong vòng 3 ngày.</w:t>
            </w:r>
          </w:p>
        </w:tc>
      </w:tr>
      <w:tr w:rsidR="006112F2" w:rsidRPr="00AA344F" w14:paraId="0493EFFF" w14:textId="77777777" w:rsidTr="00C02562">
        <w:trPr>
          <w:trHeight w:val="1317"/>
        </w:trPr>
        <w:tc>
          <w:tcPr>
            <w:tcW w:w="3510" w:type="dxa"/>
          </w:tcPr>
          <w:p w14:paraId="57F9200D" w14:textId="613BB307" w:rsidR="006112F2" w:rsidRPr="00AA344F" w:rsidRDefault="006112F2" w:rsidP="00C02562">
            <w:pPr>
              <w:spacing w:before="120"/>
              <w:jc w:val="both"/>
              <w:rPr>
                <w:color w:val="000000" w:themeColor="text1"/>
                <w:sz w:val="26"/>
                <w:szCs w:val="26"/>
              </w:rPr>
            </w:pPr>
            <w:r w:rsidRPr="00AA344F">
              <w:rPr>
                <w:color w:val="000000" w:themeColor="text1"/>
                <w:sz w:val="26"/>
                <w:szCs w:val="26"/>
              </w:rPr>
              <w:t>Dự phòng trong thời gian bắt đầu dùng thuốc hạ urat</w:t>
            </w:r>
          </w:p>
        </w:tc>
        <w:tc>
          <w:tcPr>
            <w:tcW w:w="6489" w:type="dxa"/>
          </w:tcPr>
          <w:p w14:paraId="0B4F8452" w14:textId="4657ADC7" w:rsidR="006112F2" w:rsidRPr="00AA344F" w:rsidRDefault="006112F2" w:rsidP="00C02562">
            <w:pPr>
              <w:spacing w:before="120"/>
              <w:jc w:val="both"/>
              <w:rPr>
                <w:color w:val="000000" w:themeColor="text1"/>
                <w:sz w:val="26"/>
                <w:szCs w:val="26"/>
              </w:rPr>
            </w:pPr>
            <w:r w:rsidRPr="00AA344F">
              <w:rPr>
                <w:color w:val="000000" w:themeColor="text1"/>
                <w:sz w:val="26"/>
                <w:szCs w:val="26"/>
              </w:rPr>
              <w:t>500 microgam, 1 hoặc 2 lần mỗi ngày, trong 3-6 tháng đầu sử dụng thuốc hạ urat như allopurinol.</w:t>
            </w:r>
          </w:p>
        </w:tc>
      </w:tr>
    </w:tbl>
    <w:p w14:paraId="1DF5F429" w14:textId="77777777" w:rsidR="00C02562" w:rsidRPr="00AA344F" w:rsidRDefault="00C02562" w:rsidP="00C02562">
      <w:pPr>
        <w:spacing w:before="120" w:after="0"/>
        <w:ind w:firstLine="567"/>
        <w:jc w:val="both"/>
        <w:rPr>
          <w:color w:val="000000" w:themeColor="text1"/>
          <w:sz w:val="26"/>
          <w:szCs w:val="26"/>
        </w:rPr>
      </w:pPr>
    </w:p>
    <w:tbl>
      <w:tblPr>
        <w:tblStyle w:val="TableGrid"/>
        <w:tblW w:w="0" w:type="auto"/>
        <w:tblLook w:val="04A0" w:firstRow="1" w:lastRow="0" w:firstColumn="1" w:lastColumn="0" w:noHBand="0" w:noVBand="1"/>
      </w:tblPr>
      <w:tblGrid>
        <w:gridCol w:w="3369"/>
        <w:gridCol w:w="6630"/>
      </w:tblGrid>
      <w:tr w:rsidR="00AA344F" w:rsidRPr="00AA344F" w14:paraId="58BA2065" w14:textId="77777777" w:rsidTr="008A64AA">
        <w:tc>
          <w:tcPr>
            <w:tcW w:w="9999" w:type="dxa"/>
            <w:gridSpan w:val="2"/>
          </w:tcPr>
          <w:p w14:paraId="1F81FC56" w14:textId="285E23DA" w:rsidR="006112F2" w:rsidRPr="00AA344F" w:rsidRDefault="006112F2" w:rsidP="00C02562">
            <w:pPr>
              <w:tabs>
                <w:tab w:val="left" w:pos="3087"/>
              </w:tabs>
              <w:spacing w:before="120"/>
              <w:jc w:val="center"/>
              <w:rPr>
                <w:b/>
                <w:color w:val="000000" w:themeColor="text1"/>
                <w:sz w:val="26"/>
                <w:szCs w:val="26"/>
              </w:rPr>
            </w:pPr>
            <w:r w:rsidRPr="00AA344F">
              <w:rPr>
                <w:b/>
                <w:color w:val="000000" w:themeColor="text1"/>
                <w:sz w:val="26"/>
                <w:szCs w:val="26"/>
              </w:rPr>
              <w:lastRenderedPageBreak/>
              <w:t>Bảng 2: Hướng dẫn sử dụng colchicin trong điều trị gút trong Hướng dẫn chẩn đoán và điều trị</w:t>
            </w:r>
            <w:r w:rsidRPr="00AA344F">
              <w:rPr>
                <w:b/>
                <w:color w:val="000000" w:themeColor="text1"/>
                <w:sz w:val="26"/>
                <w:szCs w:val="26"/>
                <w:lang w:val="vi-VN"/>
              </w:rPr>
              <w:t xml:space="preserve"> </w:t>
            </w:r>
            <w:r w:rsidRPr="00AA344F">
              <w:rPr>
                <w:b/>
                <w:color w:val="000000" w:themeColor="text1"/>
                <w:sz w:val="26"/>
                <w:szCs w:val="26"/>
              </w:rPr>
              <w:t>các bệnh về cơ xương khớp của Bộ Y tế năm 2014</w:t>
            </w:r>
          </w:p>
        </w:tc>
      </w:tr>
      <w:tr w:rsidR="00AA344F" w:rsidRPr="00AA344F" w14:paraId="5459F30F" w14:textId="77777777" w:rsidTr="006112F2">
        <w:tc>
          <w:tcPr>
            <w:tcW w:w="3369" w:type="dxa"/>
          </w:tcPr>
          <w:p w14:paraId="7779A286" w14:textId="65052923" w:rsidR="006112F2" w:rsidRPr="00AA344F" w:rsidRDefault="006112F2" w:rsidP="00C02562">
            <w:pPr>
              <w:tabs>
                <w:tab w:val="left" w:pos="3087"/>
              </w:tabs>
              <w:spacing w:before="120"/>
              <w:jc w:val="center"/>
              <w:rPr>
                <w:b/>
                <w:color w:val="000000" w:themeColor="text1"/>
                <w:sz w:val="26"/>
                <w:szCs w:val="26"/>
              </w:rPr>
            </w:pPr>
            <w:r w:rsidRPr="00AA344F">
              <w:rPr>
                <w:b/>
                <w:color w:val="000000" w:themeColor="text1"/>
                <w:sz w:val="26"/>
                <w:szCs w:val="26"/>
              </w:rPr>
              <w:t>Chỉ định</w:t>
            </w:r>
          </w:p>
        </w:tc>
        <w:tc>
          <w:tcPr>
            <w:tcW w:w="6630" w:type="dxa"/>
          </w:tcPr>
          <w:p w14:paraId="105CD4BC" w14:textId="39CA9665" w:rsidR="006112F2" w:rsidRPr="00AA344F" w:rsidRDefault="006112F2" w:rsidP="00C02562">
            <w:pPr>
              <w:tabs>
                <w:tab w:val="left" w:pos="3087"/>
              </w:tabs>
              <w:spacing w:before="120"/>
              <w:jc w:val="center"/>
              <w:rPr>
                <w:b/>
                <w:color w:val="000000" w:themeColor="text1"/>
                <w:sz w:val="26"/>
                <w:szCs w:val="26"/>
              </w:rPr>
            </w:pPr>
            <w:r w:rsidRPr="00AA344F">
              <w:rPr>
                <w:b/>
                <w:color w:val="000000" w:themeColor="text1"/>
                <w:sz w:val="26"/>
                <w:szCs w:val="26"/>
              </w:rPr>
              <w:t>Liều dùng</w:t>
            </w:r>
          </w:p>
        </w:tc>
      </w:tr>
      <w:tr w:rsidR="00AA344F" w:rsidRPr="00AA344F" w14:paraId="5AE347D5" w14:textId="77777777" w:rsidTr="006112F2">
        <w:tc>
          <w:tcPr>
            <w:tcW w:w="3369" w:type="dxa"/>
          </w:tcPr>
          <w:p w14:paraId="19CE5A39" w14:textId="183B66EF"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Chống viêm, giảm đau trong cơn gút cấp hoặc đợt cấp của gút mạn</w:t>
            </w:r>
          </w:p>
        </w:tc>
        <w:tc>
          <w:tcPr>
            <w:tcW w:w="6630" w:type="dxa"/>
          </w:tcPr>
          <w:p w14:paraId="65D4C3C7" w14:textId="77777777"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Nên sử dụng liều 1 mg/ngày, nhưng cần dùng càng sớm càng tốt (trong vòng 12 giờ đầu khởi phát cơn gút). Phối hợp với một thuốc NSAID (nếu không có chống chỉ định của thuốc này) để tăng hiệu quả cắt cơn gút.</w:t>
            </w:r>
          </w:p>
          <w:p w14:paraId="2E67A4A0" w14:textId="77777777" w:rsidR="006112F2" w:rsidRPr="00AA344F" w:rsidRDefault="006112F2" w:rsidP="00C02562">
            <w:pPr>
              <w:tabs>
                <w:tab w:val="left" w:pos="3087"/>
              </w:tabs>
              <w:spacing w:before="120"/>
              <w:rPr>
                <w:color w:val="000000" w:themeColor="text1"/>
                <w:sz w:val="26"/>
                <w:szCs w:val="26"/>
              </w:rPr>
            </w:pPr>
          </w:p>
          <w:p w14:paraId="1C67F308" w14:textId="59236737"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Trường hợp bệnh nhân có chống chỉ định với NSAIDs, dùng colchicin với liều 1 mg x 3 lần trong ngày đầu tiên (có thể cho 0,5 mg cách nhau 2 giờ một lần, nhưng tối đa không quá 4 mg), 1 mg x 2 lần trong ngày thứ hai, 1 mg từ ngày thứ ba trở đi. Triệu chứng tại khớp sẽ giảm nhanh thông thường sau 24-48 giờ sử dụng.</w:t>
            </w:r>
          </w:p>
        </w:tc>
      </w:tr>
      <w:tr w:rsidR="00AA344F" w:rsidRPr="00AA344F" w14:paraId="24124618" w14:textId="77777777" w:rsidTr="006112F2">
        <w:tc>
          <w:tcPr>
            <w:tcW w:w="3369" w:type="dxa"/>
          </w:tcPr>
          <w:p w14:paraId="5C478C9F" w14:textId="6B4698B8"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Test colchicin</w:t>
            </w:r>
          </w:p>
        </w:tc>
        <w:tc>
          <w:tcPr>
            <w:tcW w:w="6630" w:type="dxa"/>
          </w:tcPr>
          <w:p w14:paraId="3FEA8C39" w14:textId="774874A7"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2 ngày đầu: 1 mg x 3 lần; triệu chứng tại khớp sẽ giảm nhanh sau 48 giờ. Tuy nhiên, sau 48 giờ thường có tiêu chảy, cần kết hợp một số thuốc như loperamid 2 mg ngày 02 viên, chia 2 lần để kiểm soát triệu chứng này.</w:t>
            </w:r>
          </w:p>
        </w:tc>
      </w:tr>
      <w:tr w:rsidR="00AA344F" w:rsidRPr="00AA344F" w14:paraId="04690D6B" w14:textId="77777777" w:rsidTr="006112F2">
        <w:tc>
          <w:tcPr>
            <w:tcW w:w="3369" w:type="dxa"/>
          </w:tcPr>
          <w:p w14:paraId="6C17C2F5" w14:textId="38D1483B"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Dự phòng tái phát</w:t>
            </w:r>
          </w:p>
        </w:tc>
        <w:tc>
          <w:tcPr>
            <w:tcW w:w="6630" w:type="dxa"/>
          </w:tcPr>
          <w:p w14:paraId="0BFAB987" w14:textId="77777777"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0,5-1,2 mg uống 1-2 lần/ngày, trung bình 1 mg/ngày kéo dài ít nhất 6 tháng. Cần chú ý giảm liều ở bệnh nhân có bệnh thận mạn, cao tuổi (trên 70 tuổi), …</w:t>
            </w:r>
          </w:p>
          <w:p w14:paraId="2CAC2BFD" w14:textId="77777777" w:rsidR="006112F2" w:rsidRPr="00AA344F" w:rsidRDefault="006112F2" w:rsidP="00C02562">
            <w:pPr>
              <w:tabs>
                <w:tab w:val="left" w:pos="3087"/>
              </w:tabs>
              <w:spacing w:before="120"/>
              <w:rPr>
                <w:color w:val="000000" w:themeColor="text1"/>
                <w:sz w:val="26"/>
                <w:szCs w:val="26"/>
              </w:rPr>
            </w:pPr>
          </w:p>
          <w:p w14:paraId="669F32B4" w14:textId="6420485F" w:rsidR="006112F2" w:rsidRPr="00AA344F" w:rsidRDefault="006112F2" w:rsidP="00C02562">
            <w:pPr>
              <w:tabs>
                <w:tab w:val="left" w:pos="3087"/>
              </w:tabs>
              <w:spacing w:before="120"/>
              <w:rPr>
                <w:color w:val="000000" w:themeColor="text1"/>
                <w:sz w:val="26"/>
                <w:szCs w:val="26"/>
              </w:rPr>
            </w:pPr>
            <w:r w:rsidRPr="00AA344F">
              <w:rPr>
                <w:color w:val="000000" w:themeColor="text1"/>
                <w:sz w:val="26"/>
                <w:szCs w:val="26"/>
              </w:rPr>
              <w:t>Trong trường hợp không sử dụng được colchicin, có thể dự phòng bằng các NSAID liều thấp.</w:t>
            </w:r>
          </w:p>
        </w:tc>
      </w:tr>
    </w:tbl>
    <w:p w14:paraId="04680023" w14:textId="0D418C90" w:rsidR="006112F2" w:rsidRPr="00AA344F" w:rsidRDefault="000350B2" w:rsidP="00C02562">
      <w:pPr>
        <w:tabs>
          <w:tab w:val="left" w:pos="720"/>
          <w:tab w:val="left" w:pos="3087"/>
        </w:tabs>
        <w:spacing w:before="120" w:after="0"/>
        <w:jc w:val="both"/>
        <w:rPr>
          <w:b/>
          <w:color w:val="000000" w:themeColor="text1"/>
          <w:sz w:val="26"/>
          <w:szCs w:val="26"/>
        </w:rPr>
      </w:pPr>
      <w:r w:rsidRPr="00AA344F">
        <w:rPr>
          <w:color w:val="000000" w:themeColor="text1"/>
          <w:sz w:val="26"/>
          <w:szCs w:val="26"/>
        </w:rPr>
        <w:tab/>
      </w:r>
      <w:r w:rsidR="006112F2" w:rsidRPr="00AA344F">
        <w:rPr>
          <w:b/>
          <w:color w:val="000000" w:themeColor="text1"/>
          <w:sz w:val="26"/>
          <w:szCs w:val="26"/>
        </w:rPr>
        <w:t xml:space="preserve">Tương tác làm tăng nguy cơ ngộ độc colchicin     </w:t>
      </w:r>
    </w:p>
    <w:p w14:paraId="088BB640" w14:textId="64360213"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Nguy cơ ngộ độc colchicin tăng khi dùng kèm với chất ức chế cytochrom P450 3A4 (CYP3A4) hoặc P-glycoprotein (P-gp) như các thuốc chống nấm nhóm azol (như fluconazol), thuốc chẹn kênh calci (như diltiazem, verapamil) và kháng sinh nhóm macrolid (như erythromycin).</w:t>
      </w:r>
    </w:p>
    <w:p w14:paraId="7C44BF60" w14:textId="06FA8865"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Nếu sử dụng đồng thời các thuốc trên với colchicin, cần giảm liều colchicin và theo dõi bệnh nhân để phát hiện các triệu chứng, dấu hiệu ngộ độc colchicin. Các phối hợp này bị chống chỉ định ở bệnh nhân suy giảm chức năng gan hoặc thận do tăng nguy cơ ngộ độc thuốc.</w:t>
      </w:r>
    </w:p>
    <w:p w14:paraId="746ECDCB" w14:textId="544F36F9" w:rsidR="006112F2" w:rsidRPr="00AA344F" w:rsidRDefault="000350B2" w:rsidP="00C02562">
      <w:pPr>
        <w:tabs>
          <w:tab w:val="left" w:pos="720"/>
          <w:tab w:val="left" w:pos="3087"/>
        </w:tabs>
        <w:spacing w:before="120" w:after="0"/>
        <w:jc w:val="both"/>
        <w:rPr>
          <w:b/>
          <w:color w:val="000000" w:themeColor="text1"/>
          <w:sz w:val="26"/>
          <w:szCs w:val="26"/>
        </w:rPr>
      </w:pPr>
      <w:r w:rsidRPr="00AA344F">
        <w:rPr>
          <w:color w:val="000000" w:themeColor="text1"/>
          <w:sz w:val="26"/>
          <w:szCs w:val="26"/>
        </w:rPr>
        <w:tab/>
      </w:r>
      <w:r w:rsidR="006112F2" w:rsidRPr="00AA344F">
        <w:rPr>
          <w:b/>
          <w:color w:val="000000" w:themeColor="text1"/>
          <w:sz w:val="26"/>
          <w:szCs w:val="26"/>
        </w:rPr>
        <w:t>Xử trí ngộ độc colchicin</w:t>
      </w:r>
    </w:p>
    <w:p w14:paraId="09D6B288" w14:textId="40E69BB2"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xml:space="preserve">Bệnh nhân đã có chẩn đoán xác định hoặc nghi ngờ quá liều colchicin, hoặc có biểu hiện triệu chứng ngộ độc colchicin, cần được nhập viện ngay. Hiện chưa có thuốc giải độc đặc hiệu trong trường hợp quá liều colchicin và các biện pháp điều trị còn hạn chế. Thẩm tách máu và lọc máu hấp phụ (haemoperfusion) không hiệu quả do colchicin có thể tích phân bố lớn, liên kết mạnh với protein huyết tương và phân bố nhanh vào mô. Nếu dấu hiệu ngộ độc </w:t>
      </w:r>
      <w:r w:rsidR="006112F2" w:rsidRPr="00AA344F">
        <w:rPr>
          <w:color w:val="000000" w:themeColor="text1"/>
          <w:sz w:val="26"/>
          <w:szCs w:val="26"/>
        </w:rPr>
        <w:lastRenderedPageBreak/>
        <w:t>xuất hiện sớm ngay sau khi uống thuốc, có thể dùng than hoạt lặp lại nhiều lần để giúp loại bỏ colchicin ở đường tiêu hóa. Mặc dù được hấp thu nhanh, việc loại bớt dù chỉ một lượng nhỏ colchicin cũng giúp cải thiện tiên lượng. Bệnh nhân có biểu hiện ngộ độc xuất hiện muộn sau khi uống thuốc hay có suy giảm chức năng gan hoặc thận thường có tiên lượng bệnh kém hơn. Điều trị ngộ độc colchicin chủ yếu là điều trị hỗ trợ</w:t>
      </w:r>
      <w:r w:rsidR="00C02562" w:rsidRPr="00AA344F">
        <w:rPr>
          <w:color w:val="000000" w:themeColor="text1"/>
          <w:sz w:val="26"/>
          <w:szCs w:val="26"/>
        </w:rPr>
        <w:t>.</w:t>
      </w:r>
    </w:p>
    <w:p w14:paraId="0C8BC255" w14:textId="679F6621"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Dược thư Quốc gia Việt Nam năm 2012 (tập I) mô tả cách xử trí ngộ độc colchicin chi tiết hơn. Cụ thể, mảnh Fab đặc hiệu của colchicin điều chế từ kháng huyết thanh dê đã được dùng để điều trị nhiễm độc nặng đe dọa tính mạng. Dùng 480 mg mảnh Fab đặc hiệu của colchicin cho một bệnh nhân sau khi uống colchicin liều 1 mg/kg, đã làm tăng gấp 6 lần bài tiết colchicin qua nước tiểu. Nếu uống colchicin, trong vài giờ đầu, có thể rửa dạ dày hoặc gây nôn. Có thể cho than hoạt. Điều trị triệu chứng và hỗ trợ: giảm co thắt cơ trơn bằng atropin, chống sốc, hỗ trợ hô hấp. Có thể dùng filgrastim để điều trị giảm huyết cầu toàn thể do nhiễm độc colchicin. Lợi ích của thẩm phân máu, lợi niệu cưỡng bức, truyền lọc máu qua than hoạt hoặc thẩm phân màng bụng trong điều trị quá liều colchicin chưa được xác định.</w:t>
      </w:r>
    </w:p>
    <w:p w14:paraId="00BF4D4B" w14:textId="691DF70C" w:rsidR="006112F2" w:rsidRPr="00AA344F" w:rsidRDefault="000350B2" w:rsidP="00C02562">
      <w:pPr>
        <w:tabs>
          <w:tab w:val="left" w:pos="720"/>
          <w:tab w:val="left" w:pos="3087"/>
        </w:tabs>
        <w:spacing w:before="120" w:after="0"/>
        <w:jc w:val="both"/>
        <w:rPr>
          <w:b/>
          <w:color w:val="000000" w:themeColor="text1"/>
          <w:sz w:val="26"/>
          <w:szCs w:val="26"/>
        </w:rPr>
      </w:pPr>
      <w:r w:rsidRPr="00AA344F">
        <w:rPr>
          <w:color w:val="000000" w:themeColor="text1"/>
          <w:sz w:val="26"/>
          <w:szCs w:val="26"/>
        </w:rPr>
        <w:tab/>
      </w:r>
      <w:r w:rsidR="006112F2" w:rsidRPr="00AA344F">
        <w:rPr>
          <w:b/>
          <w:color w:val="000000" w:themeColor="text1"/>
          <w:sz w:val="26"/>
          <w:szCs w:val="26"/>
        </w:rPr>
        <w:t>Dự phòng tác dụng bất lợi của colchicin</w:t>
      </w:r>
    </w:p>
    <w:p w14:paraId="465EC62E" w14:textId="3D9B7940" w:rsidR="006112F2" w:rsidRPr="00AA344F" w:rsidRDefault="000350B2" w:rsidP="00C02562">
      <w:pPr>
        <w:tabs>
          <w:tab w:val="left" w:pos="720"/>
          <w:tab w:val="left" w:pos="3087"/>
        </w:tabs>
        <w:spacing w:before="120" w:after="0"/>
        <w:jc w:val="both"/>
        <w:rPr>
          <w:b/>
          <w:i/>
          <w:color w:val="000000" w:themeColor="text1"/>
          <w:sz w:val="26"/>
          <w:szCs w:val="26"/>
        </w:rPr>
      </w:pPr>
      <w:r w:rsidRPr="00AA344F">
        <w:rPr>
          <w:color w:val="000000" w:themeColor="text1"/>
          <w:sz w:val="26"/>
          <w:szCs w:val="26"/>
        </w:rPr>
        <w:tab/>
      </w:r>
      <w:r w:rsidR="006112F2" w:rsidRPr="00AA344F">
        <w:rPr>
          <w:b/>
          <w:i/>
          <w:color w:val="000000" w:themeColor="text1"/>
          <w:sz w:val="26"/>
          <w:szCs w:val="26"/>
        </w:rPr>
        <w:t>Kiểm soát bệnh gút chặt chẽ hơn</w:t>
      </w:r>
    </w:p>
    <w:p w14:paraId="536C9FA2" w14:textId="108769B0"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Bệnh nhân sử dụng colchicin thường xuyên để điều trị đợt gút cấp nên được tư vấn sử dụng dài hạn thuốc hạ urat như allopurinol. Điều trị dự phòng giúp làm giảm tần suất xuất hiện cơn gút cấp, do đó làm giảm nhu cầu sử dụng colchicin cùng nguy cơ ngộ độc. Thuốc hạ urat được chỉ định cho bệnh nhân gút: có các đợt cấp tái phát (≥ 2 lần trong 1 năm), có sạn urat, suy giảm chức năng thận hoặc có hình ảnh tổn thương gút thay đổi trên phim X-quang. Thuốc hạ urat tốt nhất nên được bắt đầu sử dụng sớm trước khi xuất hiện tổn thương ăn mòn khớp hoặc sạn urat.</w:t>
      </w:r>
    </w:p>
    <w:p w14:paraId="4EDBBA48" w14:textId="35EE4BD2" w:rsidR="006112F2" w:rsidRPr="00AA344F" w:rsidRDefault="000350B2" w:rsidP="00C02562">
      <w:pPr>
        <w:tabs>
          <w:tab w:val="left" w:pos="720"/>
          <w:tab w:val="left" w:pos="3087"/>
        </w:tabs>
        <w:spacing w:before="120" w:after="0"/>
        <w:jc w:val="both"/>
        <w:rPr>
          <w:b/>
          <w:i/>
          <w:color w:val="000000" w:themeColor="text1"/>
          <w:sz w:val="26"/>
          <w:szCs w:val="26"/>
        </w:rPr>
      </w:pPr>
      <w:r w:rsidRPr="00AA344F">
        <w:rPr>
          <w:color w:val="000000" w:themeColor="text1"/>
          <w:sz w:val="26"/>
          <w:szCs w:val="26"/>
        </w:rPr>
        <w:tab/>
      </w:r>
      <w:r w:rsidR="006112F2" w:rsidRPr="00AA344F">
        <w:rPr>
          <w:b/>
          <w:i/>
          <w:color w:val="000000" w:themeColor="text1"/>
          <w:sz w:val="26"/>
          <w:szCs w:val="26"/>
        </w:rPr>
        <w:t>Tư vấn đầy đủ cho bệnh nhân</w:t>
      </w:r>
    </w:p>
    <w:p w14:paraId="5CAD1680" w14:textId="11DF8AB0"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Bệnh nhân có nguy cơ quá liều nếu không hiểu rõ về cách dùng colchicin và các tác dụng không mong muốn có thể gặp của thuốc. Các biện pháp giáo dục bệnh nhân phù hợp bao gồm:</w:t>
      </w:r>
    </w:p>
    <w:p w14:paraId="2DC08CE6" w14:textId="47D83BC8"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Hướng dẫn rõ ràng về cách dùng colchicin, đặc biệt là liều tối đa của thuốc.</w:t>
      </w:r>
    </w:p>
    <w:p w14:paraId="08DC4D5E" w14:textId="4D7A4A30"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Khuyến cáo ngừng sử dụng colchicin và đến khám bác sĩ nếu có các biểu hiện buồn nôn, nôn hoặc tiêu chảy; chảy máu hoặc có các vết thâm tím bất thường; đau hoặc yếu cơ; tê hoặc đau nhói dây thần kinh ở ngón tay hoặc ngón chân.</w:t>
      </w:r>
    </w:p>
    <w:p w14:paraId="7A760692" w14:textId="677CE7CE"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Đảm bảo bệnh nhân nhận thức được rằng colchicin không phải thuốc giảm đau thông thường và không nên dùng để giảm đau không phải do nguyên nhân gút.</w:t>
      </w:r>
    </w:p>
    <w:p w14:paraId="65242795" w14:textId="3DD5B7E8"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Dặn bệnh nhân thông báo cho bác sĩ hoặc dược sĩ tất cả các thuốc đang dùng và kiểm tra lại thông tin về sử dụng colchicin trước khi kê đơn thêm các thuốc mới.</w:t>
      </w:r>
    </w:p>
    <w:p w14:paraId="64EE7B94" w14:textId="77777777" w:rsidR="006112F2" w:rsidRPr="00AA344F" w:rsidRDefault="006112F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lastRenderedPageBreak/>
        <w:t>Lời khuyên dành cho bệnh nhân nên được điều chỉnh theo trình độ hiểu biết về y tế của từng người bệnh. Rào cản về ngôn ngữ, khác biệt về văn hóa, khả năng đọc, hiểu thông tin y tế của bệnh nhân có thể là những nguyên nhân vô ý sử dụng quá liều thuốc.</w:t>
      </w:r>
    </w:p>
    <w:p w14:paraId="44224E5C" w14:textId="714C2CB9" w:rsidR="006112F2" w:rsidRPr="00AA344F" w:rsidRDefault="000350B2" w:rsidP="00C02562">
      <w:pPr>
        <w:tabs>
          <w:tab w:val="left" w:pos="720"/>
          <w:tab w:val="left" w:pos="3087"/>
        </w:tabs>
        <w:spacing w:before="120" w:after="0"/>
        <w:jc w:val="both"/>
        <w:rPr>
          <w:b/>
          <w:color w:val="000000" w:themeColor="text1"/>
          <w:sz w:val="26"/>
          <w:szCs w:val="26"/>
        </w:rPr>
      </w:pPr>
      <w:r w:rsidRPr="00AA344F">
        <w:rPr>
          <w:color w:val="000000" w:themeColor="text1"/>
          <w:sz w:val="26"/>
          <w:szCs w:val="26"/>
        </w:rPr>
        <w:tab/>
      </w:r>
      <w:r w:rsidR="006112F2" w:rsidRPr="00AA344F">
        <w:rPr>
          <w:b/>
          <w:color w:val="000000" w:themeColor="text1"/>
          <w:sz w:val="26"/>
          <w:szCs w:val="26"/>
        </w:rPr>
        <w:t xml:space="preserve">Lời khuyên dành cho cán bộ y tế: </w:t>
      </w:r>
    </w:p>
    <w:p w14:paraId="6F2A521A" w14:textId="4AFD129A"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Cung cấp hướng dẫn rõ ràng về cách sử dụng colchicin cho bệnh nhân, bằng cả lời nói và y lệnh, đồng thời kiểm tra xem bệnh nhân đã hiểu rõ chưa. Cảnh báo bệnh nhân về sự nguy hiểm của việc sử dụng quá liều hoặc lạm dụng colchicin và tầm quan trọng của việc bảo quản thuốc an toàn.</w:t>
      </w:r>
    </w:p>
    <w:p w14:paraId="70E23A1B" w14:textId="69BF772F"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Giới hạn số thuốc kê đơn đến tối đa 12 viên nén (hàm lượng 500 microgam) cho đợt gút cấp (6 viên nén cho người cao tuổi).</w:t>
      </w:r>
    </w:p>
    <w:p w14:paraId="15391CC5" w14:textId="125CAF91"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Kê đơn hàng tháng trong điều trị dự phòng và đảm bảo rằng việc dùng colchicin với mục đích này được ngừng sau 3-6 tháng.</w:t>
      </w:r>
    </w:p>
    <w:p w14:paraId="4C9B7418" w14:textId="08C818FB" w:rsidR="006112F2" w:rsidRPr="00AA344F" w:rsidRDefault="000350B2" w:rsidP="00C02562">
      <w:pPr>
        <w:tabs>
          <w:tab w:val="left" w:pos="720"/>
          <w:tab w:val="left" w:pos="3087"/>
        </w:tabs>
        <w:spacing w:before="120" w:after="0"/>
        <w:jc w:val="both"/>
        <w:rPr>
          <w:color w:val="000000" w:themeColor="text1"/>
          <w:sz w:val="26"/>
          <w:szCs w:val="26"/>
        </w:rPr>
      </w:pPr>
      <w:r w:rsidRPr="00AA344F">
        <w:rPr>
          <w:color w:val="000000" w:themeColor="text1"/>
          <w:sz w:val="26"/>
          <w:szCs w:val="26"/>
        </w:rPr>
        <w:tab/>
      </w:r>
      <w:r w:rsidR="006112F2" w:rsidRPr="00AA344F">
        <w:rPr>
          <w:color w:val="000000" w:themeColor="text1"/>
          <w:sz w:val="26"/>
          <w:szCs w:val="26"/>
        </w:rPr>
        <w:t>- Luôn thận trọng về các tương tác thuốc có ý nghĩa lâm sàng với colchicin.</w:t>
      </w:r>
    </w:p>
    <w:p w14:paraId="7F731DB6" w14:textId="604257D2" w:rsidR="000350B2" w:rsidRPr="00AA344F" w:rsidRDefault="000350B2" w:rsidP="00C02562">
      <w:pPr>
        <w:spacing w:before="120" w:after="0"/>
        <w:ind w:firstLine="567"/>
        <w:jc w:val="both"/>
        <w:rPr>
          <w:rStyle w:val="Hyperlink"/>
          <w:i/>
          <w:color w:val="000000" w:themeColor="text1"/>
          <w:sz w:val="26"/>
          <w:szCs w:val="26"/>
          <w:shd w:val="clear" w:color="auto" w:fill="FFFFFF"/>
        </w:rPr>
      </w:pPr>
      <w:r w:rsidRPr="00AA344F">
        <w:rPr>
          <w:i/>
          <w:color w:val="000000" w:themeColor="text1"/>
          <w:sz w:val="26"/>
          <w:szCs w:val="26"/>
          <w:shd w:val="clear" w:color="auto" w:fill="FFFFFF"/>
        </w:rPr>
        <w:t>Nguồn:</w:t>
      </w:r>
      <w:r w:rsidRPr="00AA344F">
        <w:rPr>
          <w:color w:val="000000" w:themeColor="text1"/>
          <w:sz w:val="26"/>
          <w:szCs w:val="26"/>
        </w:rPr>
        <w:t xml:space="preserve"> </w:t>
      </w:r>
      <w:hyperlink r:id="rId12" w:history="1">
        <w:r w:rsidRPr="00AA344F">
          <w:rPr>
            <w:rStyle w:val="Hyperlink"/>
            <w:i/>
            <w:color w:val="000000" w:themeColor="text1"/>
            <w:sz w:val="26"/>
            <w:szCs w:val="26"/>
            <w:shd w:val="clear" w:color="auto" w:fill="FFFFFF"/>
          </w:rPr>
          <w:t>http://canhgiacduoc.org.vn/</w:t>
        </w:r>
      </w:hyperlink>
    </w:p>
    <w:p w14:paraId="69EFC8EA"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2EFB9D43"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05CCEE88"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21E78D0F"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4B1B2E06"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6CC17125"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541E97E5"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34B604FC"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45E9F463"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3B5166B0"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3CDD36EB"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0D90AC11"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0225C1BA"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7D859CDC" w14:textId="77777777" w:rsidR="00C02562" w:rsidRPr="00AA344F" w:rsidRDefault="00C02562" w:rsidP="00C02562">
      <w:pPr>
        <w:spacing w:before="120" w:after="0"/>
        <w:ind w:firstLine="567"/>
        <w:jc w:val="both"/>
        <w:rPr>
          <w:rStyle w:val="Hyperlink"/>
          <w:i/>
          <w:color w:val="000000" w:themeColor="text1"/>
          <w:sz w:val="26"/>
          <w:szCs w:val="26"/>
          <w:shd w:val="clear" w:color="auto" w:fill="FFFFFF"/>
        </w:rPr>
      </w:pPr>
    </w:p>
    <w:p w14:paraId="01857298" w14:textId="77777777" w:rsidR="00C870F1" w:rsidRPr="00AA344F" w:rsidRDefault="00C870F1" w:rsidP="00C870F1">
      <w:pPr>
        <w:spacing w:before="120" w:after="0"/>
        <w:jc w:val="both"/>
        <w:rPr>
          <w:rStyle w:val="Hyperlink"/>
          <w:i/>
          <w:color w:val="000000" w:themeColor="text1"/>
          <w:sz w:val="26"/>
          <w:szCs w:val="26"/>
          <w:shd w:val="clear" w:color="auto" w:fill="FFFFFF"/>
        </w:rPr>
        <w:sectPr w:rsidR="00C870F1" w:rsidRPr="00AA344F" w:rsidSect="00297E9F">
          <w:headerReference w:type="default" r:id="rId13"/>
          <w:footerReference w:type="default" r:id="rId14"/>
          <w:type w:val="continuous"/>
          <w:pgSz w:w="11910" w:h="16840" w:code="9"/>
          <w:pgMar w:top="1134" w:right="1134" w:bottom="1134" w:left="992" w:header="567" w:footer="567" w:gutter="0"/>
          <w:cols w:space="720"/>
          <w:docGrid w:linePitch="381"/>
        </w:sectPr>
      </w:pPr>
    </w:p>
    <w:p w14:paraId="2D52E996" w14:textId="149292F1" w:rsidR="005F0383" w:rsidRPr="00AA344F" w:rsidRDefault="00294458" w:rsidP="00C02562">
      <w:pPr>
        <w:tabs>
          <w:tab w:val="left" w:pos="3087"/>
        </w:tabs>
        <w:spacing w:before="120" w:after="0"/>
        <w:rPr>
          <w:i/>
          <w:color w:val="000000" w:themeColor="text1"/>
          <w:sz w:val="26"/>
          <w:szCs w:val="26"/>
        </w:rPr>
      </w:pPr>
      <w:r w:rsidRPr="00AA344F">
        <w:rPr>
          <w:b/>
          <w:bCs/>
          <w:noProof/>
          <w:color w:val="000000" w:themeColor="text1"/>
          <w:sz w:val="26"/>
          <w:szCs w:val="26"/>
        </w:rPr>
        <w:lastRenderedPageBreak/>
        <mc:AlternateContent>
          <mc:Choice Requires="wps">
            <w:drawing>
              <wp:anchor distT="0" distB="0" distL="114300" distR="114300" simplePos="0" relativeHeight="251658240" behindDoc="0" locked="0" layoutInCell="1" allowOverlap="1" wp14:anchorId="0389C6D0" wp14:editId="6B585A44">
                <wp:simplePos x="0" y="0"/>
                <wp:positionH relativeFrom="column">
                  <wp:posOffset>-40468</wp:posOffset>
                </wp:positionH>
                <wp:positionV relativeFrom="paragraph">
                  <wp:posOffset>153876</wp:posOffset>
                </wp:positionV>
                <wp:extent cx="9378744" cy="353695"/>
                <wp:effectExtent l="76200" t="57150" r="89535" b="122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744" cy="353695"/>
                        </a:xfrm>
                        <a:prstGeom prst="rect">
                          <a:avLst/>
                        </a:prstGeom>
                        <a:solidFill>
                          <a:schemeClr val="accent5">
                            <a:lumMod val="60000"/>
                            <a:lumOff val="40000"/>
                          </a:schemeClr>
                        </a:solidFill>
                        <a:ln w="38100">
                          <a:solidFill>
                            <a:schemeClr val="lt1">
                              <a:lumMod val="95000"/>
                              <a:lumOff val="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76467D76" w14:textId="575C70B9" w:rsidR="00AA344F" w:rsidRPr="00684AD5" w:rsidRDefault="00AA344F" w:rsidP="00294458">
                            <w:pPr>
                              <w:jc w:val="center"/>
                              <w:rPr>
                                <w:b/>
                                <w:sz w:val="32"/>
                                <w:szCs w:val="32"/>
                              </w:rPr>
                            </w:pPr>
                            <w:r>
                              <w:rPr>
                                <w:b/>
                                <w:sz w:val="32"/>
                                <w:szCs w:val="32"/>
                              </w:rPr>
                              <w:t>CÁC TƯƠNG TÁC CHỐNG CHỈ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9C6D0" id="_x0000_s1028" type="#_x0000_t202" style="position:absolute;margin-left:-3.2pt;margin-top:12.1pt;width:738.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" fillcolor="#9bc7ce [1944]" strokecolor="#f2f2f2 [3041]" strokeweight="3pt">
                <v:shadow on="t" color="#143e69 [1606]" opacity=".5" offset="1pt,.74833mm"/>
                <v:textbox>
                  <w:txbxContent>
                    <w:p w14:paraId="76467D76" w14:textId="575C70B9" w:rsidR="00AA344F" w:rsidRPr="00684AD5" w:rsidRDefault="00AA344F" w:rsidP="00294458">
                      <w:pPr>
                        <w:jc w:val="center"/>
                        <w:rPr>
                          <w:b/>
                          <w:sz w:val="32"/>
                          <w:szCs w:val="32"/>
                        </w:rPr>
                      </w:pPr>
                      <w:r>
                        <w:rPr>
                          <w:b/>
                          <w:sz w:val="32"/>
                          <w:szCs w:val="32"/>
                        </w:rPr>
                        <w:t>CÁC TƯƠNG TÁC CHỐNG CHỈ ĐỊNH</w:t>
                      </w:r>
                    </w:p>
                  </w:txbxContent>
                </v:textbox>
              </v:shape>
            </w:pict>
          </mc:Fallback>
        </mc:AlternateContent>
      </w:r>
    </w:p>
    <w:p w14:paraId="0CE433CA" w14:textId="6F9A7BF7" w:rsidR="00294458" w:rsidRPr="00AA344F" w:rsidRDefault="00294458" w:rsidP="00C02562">
      <w:pPr>
        <w:tabs>
          <w:tab w:val="left" w:pos="3087"/>
        </w:tabs>
        <w:spacing w:before="120" w:after="0"/>
        <w:jc w:val="both"/>
        <w:rPr>
          <w:i/>
          <w:color w:val="000000" w:themeColor="text1"/>
          <w:sz w:val="26"/>
          <w:szCs w:val="26"/>
        </w:rPr>
      </w:pPr>
    </w:p>
    <w:p w14:paraId="7156688D" w14:textId="113F0552" w:rsidR="00C870F1" w:rsidRPr="00AA344F" w:rsidRDefault="00C870F1" w:rsidP="00C870F1">
      <w:pPr>
        <w:tabs>
          <w:tab w:val="left" w:pos="3087"/>
        </w:tabs>
        <w:spacing w:before="120" w:after="0"/>
        <w:jc w:val="center"/>
        <w:rPr>
          <w:i/>
          <w:color w:val="000000" w:themeColor="text1"/>
          <w:spacing w:val="-4"/>
          <w:sz w:val="26"/>
          <w:szCs w:val="26"/>
        </w:rPr>
      </w:pPr>
      <w:r w:rsidRPr="00AA344F">
        <w:rPr>
          <w:i/>
          <w:color w:val="000000" w:themeColor="text1"/>
          <w:spacing w:val="-4"/>
          <w:sz w:val="26"/>
          <w:szCs w:val="26"/>
        </w:rPr>
        <w:t>(Dựa trên Quyết định số 5948/QĐ-BYT ngày 30/12/2021 về việc ban hành Danh mục tương tác thuốc chống chỉ định trong thực hành lâm sàng tại các cơ sở khám bệnh, chữa bệnh)</w:t>
      </w:r>
    </w:p>
    <w:tbl>
      <w:tblPr>
        <w:tblW w:w="14720" w:type="dxa"/>
        <w:tblInd w:w="113" w:type="dxa"/>
        <w:tblLook w:val="04A0" w:firstRow="1" w:lastRow="0" w:firstColumn="1" w:lastColumn="0" w:noHBand="0" w:noVBand="1"/>
      </w:tblPr>
      <w:tblGrid>
        <w:gridCol w:w="632"/>
        <w:gridCol w:w="1599"/>
        <w:gridCol w:w="1875"/>
        <w:gridCol w:w="2126"/>
        <w:gridCol w:w="4462"/>
        <w:gridCol w:w="4026"/>
      </w:tblGrid>
      <w:tr w:rsidR="00AA344F" w:rsidRPr="00AA344F" w14:paraId="3565A8F5" w14:textId="77777777" w:rsidTr="00C226F9">
        <w:trPr>
          <w:trHeight w:val="705"/>
          <w:tblHeader/>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2148D"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STT</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3B8B2BBB"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Tên gốc</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14:paraId="65197BD9"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 xml:space="preserve">Tương tác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B128A6"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Cơ chế</w:t>
            </w:r>
          </w:p>
        </w:tc>
        <w:tc>
          <w:tcPr>
            <w:tcW w:w="4462" w:type="dxa"/>
            <w:tcBorders>
              <w:top w:val="single" w:sz="4" w:space="0" w:color="auto"/>
              <w:left w:val="nil"/>
              <w:bottom w:val="single" w:sz="4" w:space="0" w:color="auto"/>
              <w:right w:val="single" w:sz="4" w:space="0" w:color="auto"/>
            </w:tcBorders>
            <w:shd w:val="clear" w:color="auto" w:fill="auto"/>
            <w:vAlign w:val="center"/>
            <w:hideMark/>
          </w:tcPr>
          <w:p w14:paraId="3071229A"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Hậu quả</w:t>
            </w:r>
          </w:p>
        </w:tc>
        <w:tc>
          <w:tcPr>
            <w:tcW w:w="4026" w:type="dxa"/>
            <w:tcBorders>
              <w:top w:val="single" w:sz="4" w:space="0" w:color="auto"/>
              <w:left w:val="nil"/>
              <w:bottom w:val="single" w:sz="4" w:space="0" w:color="auto"/>
              <w:right w:val="single" w:sz="4" w:space="0" w:color="auto"/>
            </w:tcBorders>
            <w:shd w:val="clear" w:color="auto" w:fill="auto"/>
            <w:vAlign w:val="center"/>
            <w:hideMark/>
          </w:tcPr>
          <w:p w14:paraId="7F492D8E" w14:textId="77777777" w:rsidR="00042608" w:rsidRPr="00AA344F" w:rsidRDefault="00042608" w:rsidP="00042608">
            <w:pPr>
              <w:spacing w:after="0" w:line="240" w:lineRule="auto"/>
              <w:jc w:val="center"/>
              <w:rPr>
                <w:rFonts w:eastAsia="Times New Roman"/>
                <w:b/>
                <w:bCs/>
                <w:color w:val="000000" w:themeColor="text1"/>
                <w:sz w:val="22"/>
                <w:szCs w:val="22"/>
              </w:rPr>
            </w:pPr>
            <w:r w:rsidRPr="00AA344F">
              <w:rPr>
                <w:rFonts w:eastAsia="Times New Roman"/>
                <w:b/>
                <w:bCs/>
                <w:color w:val="000000" w:themeColor="text1"/>
                <w:sz w:val="22"/>
                <w:szCs w:val="22"/>
              </w:rPr>
              <w:t>Xử trí</w:t>
            </w:r>
          </w:p>
        </w:tc>
      </w:tr>
      <w:tr w:rsidR="00AA344F" w:rsidRPr="00AA344F" w14:paraId="4C915498" w14:textId="77777777" w:rsidTr="00C226F9">
        <w:trPr>
          <w:trHeight w:val="24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80F88F6"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1</w:t>
            </w:r>
          </w:p>
        </w:tc>
        <w:tc>
          <w:tcPr>
            <w:tcW w:w="1599" w:type="dxa"/>
            <w:tcBorders>
              <w:top w:val="nil"/>
              <w:left w:val="nil"/>
              <w:bottom w:val="single" w:sz="4" w:space="0" w:color="auto"/>
              <w:right w:val="single" w:sz="4" w:space="0" w:color="auto"/>
            </w:tcBorders>
            <w:shd w:val="clear" w:color="auto" w:fill="auto"/>
            <w:vAlign w:val="center"/>
            <w:hideMark/>
          </w:tcPr>
          <w:p w14:paraId="2706038F"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Amiodaron hydroclorid</w:t>
            </w:r>
          </w:p>
        </w:tc>
        <w:tc>
          <w:tcPr>
            <w:tcW w:w="1875" w:type="dxa"/>
            <w:tcBorders>
              <w:top w:val="nil"/>
              <w:left w:val="nil"/>
              <w:bottom w:val="single" w:sz="4" w:space="0" w:color="auto"/>
              <w:right w:val="single" w:sz="4" w:space="0" w:color="auto"/>
            </w:tcBorders>
            <w:shd w:val="clear" w:color="auto" w:fill="auto"/>
            <w:vAlign w:val="center"/>
            <w:hideMark/>
          </w:tcPr>
          <w:p w14:paraId="2CC355A6"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Colchicin</w:t>
            </w:r>
          </w:p>
        </w:tc>
        <w:tc>
          <w:tcPr>
            <w:tcW w:w="2126" w:type="dxa"/>
            <w:tcBorders>
              <w:top w:val="nil"/>
              <w:left w:val="nil"/>
              <w:bottom w:val="single" w:sz="4" w:space="0" w:color="auto"/>
              <w:right w:val="single" w:sz="4" w:space="0" w:color="auto"/>
            </w:tcBorders>
            <w:shd w:val="clear" w:color="auto" w:fill="auto"/>
            <w:vAlign w:val="center"/>
            <w:hideMark/>
          </w:tcPr>
          <w:p w14:paraId="5CB98CD5"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Amiodaron ức chế P-gp làm giảm thải trừ colchicin.</w:t>
            </w:r>
          </w:p>
        </w:tc>
        <w:tc>
          <w:tcPr>
            <w:tcW w:w="4462" w:type="dxa"/>
            <w:tcBorders>
              <w:top w:val="nil"/>
              <w:left w:val="nil"/>
              <w:bottom w:val="single" w:sz="4" w:space="0" w:color="auto"/>
              <w:right w:val="single" w:sz="4" w:space="0" w:color="auto"/>
            </w:tcBorders>
            <w:shd w:val="clear" w:color="auto" w:fill="auto"/>
            <w:vAlign w:val="center"/>
            <w:hideMark/>
          </w:tcPr>
          <w:p w14:paraId="555CA4D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colchicin trong huyết thanh, tăng nguy cơ tác dụng độc tính (tiêu chảy, nôn, đau bụng, sốt, xuất huyết, giảm cả ba dòng tế bào máu, các dấu hiệu độc tính trên cơ như đau cơ, mỏi cơ hoặc yếu cơ, nước tiểu sẫm màu, dị cảm, trường hợp nặng có thể gây suy đa tạng và tử vong).</w:t>
            </w:r>
          </w:p>
        </w:tc>
        <w:tc>
          <w:tcPr>
            <w:tcW w:w="4026" w:type="dxa"/>
            <w:tcBorders>
              <w:top w:val="nil"/>
              <w:left w:val="nil"/>
              <w:bottom w:val="single" w:sz="4" w:space="0" w:color="auto"/>
              <w:right w:val="single" w:sz="4" w:space="0" w:color="auto"/>
            </w:tcBorders>
            <w:shd w:val="clear" w:color="auto" w:fill="auto"/>
            <w:vAlign w:val="center"/>
            <w:hideMark/>
          </w:tcPr>
          <w:p w14:paraId="5E2BACCE" w14:textId="6ADB8F21"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ở bệnh nhân suy gan hoặc suy thận.</w:t>
            </w:r>
          </w:p>
        </w:tc>
      </w:tr>
      <w:tr w:rsidR="00AA344F" w:rsidRPr="00AA344F" w14:paraId="6B517B35" w14:textId="77777777" w:rsidTr="00C226F9">
        <w:trPr>
          <w:trHeight w:val="21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7E672B6C"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2</w:t>
            </w:r>
          </w:p>
        </w:tc>
        <w:tc>
          <w:tcPr>
            <w:tcW w:w="1599" w:type="dxa"/>
            <w:tcBorders>
              <w:top w:val="nil"/>
              <w:left w:val="nil"/>
              <w:bottom w:val="single" w:sz="4" w:space="0" w:color="auto"/>
              <w:right w:val="single" w:sz="4" w:space="0" w:color="auto"/>
            </w:tcBorders>
            <w:shd w:val="clear" w:color="auto" w:fill="auto"/>
            <w:vAlign w:val="center"/>
            <w:hideMark/>
          </w:tcPr>
          <w:p w14:paraId="56F9D721"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Atropin sulfat</w:t>
            </w:r>
          </w:p>
        </w:tc>
        <w:tc>
          <w:tcPr>
            <w:tcW w:w="1875" w:type="dxa"/>
            <w:tcBorders>
              <w:top w:val="nil"/>
              <w:left w:val="nil"/>
              <w:bottom w:val="single" w:sz="4" w:space="0" w:color="auto"/>
              <w:right w:val="single" w:sz="4" w:space="0" w:color="auto"/>
            </w:tcBorders>
            <w:shd w:val="clear" w:color="auto" w:fill="auto"/>
            <w:vAlign w:val="center"/>
            <w:hideMark/>
          </w:tcPr>
          <w:p w14:paraId="49BEE16F"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Kali clorid (dạng uống giải phóng kéo dài)</w:t>
            </w:r>
          </w:p>
        </w:tc>
        <w:tc>
          <w:tcPr>
            <w:tcW w:w="2126" w:type="dxa"/>
            <w:tcBorders>
              <w:top w:val="nil"/>
              <w:left w:val="nil"/>
              <w:bottom w:val="single" w:sz="4" w:space="0" w:color="auto"/>
              <w:right w:val="single" w:sz="4" w:space="0" w:color="auto"/>
            </w:tcBorders>
            <w:shd w:val="clear" w:color="auto" w:fill="auto"/>
            <w:vAlign w:val="center"/>
            <w:hideMark/>
          </w:tcPr>
          <w:p w14:paraId="3ADB2E0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Atropin kháng cholinergic gây tồn lưu hoặc làm tăng thời gian kali qua đường tiêu hóa khi sử dụng đường uống, gây loét đường tiêu hóa</w:t>
            </w:r>
          </w:p>
        </w:tc>
        <w:tc>
          <w:tcPr>
            <w:tcW w:w="4462" w:type="dxa"/>
            <w:tcBorders>
              <w:top w:val="nil"/>
              <w:left w:val="nil"/>
              <w:bottom w:val="single" w:sz="4" w:space="0" w:color="auto"/>
              <w:right w:val="single" w:sz="4" w:space="0" w:color="auto"/>
            </w:tcBorders>
            <w:shd w:val="clear" w:color="auto" w:fill="auto"/>
            <w:vAlign w:val="center"/>
            <w:hideMark/>
          </w:tcPr>
          <w:p w14:paraId="05808534"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nguy cơ loét tiêu hóa</w:t>
            </w:r>
          </w:p>
        </w:tc>
        <w:tc>
          <w:tcPr>
            <w:tcW w:w="4026" w:type="dxa"/>
            <w:tcBorders>
              <w:top w:val="nil"/>
              <w:left w:val="nil"/>
              <w:bottom w:val="single" w:sz="4" w:space="0" w:color="auto"/>
              <w:right w:val="single" w:sz="4" w:space="0" w:color="auto"/>
            </w:tcBorders>
            <w:shd w:val="clear" w:color="auto" w:fill="auto"/>
            <w:vAlign w:val="center"/>
            <w:hideMark/>
          </w:tcPr>
          <w:p w14:paraId="2E82CF25" w14:textId="040ED250"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Tốt nhất nên tránh phối hợp, đặc biệt ở người cao tuổi. Cân nhắc chuyển sang sử dụng kali đường tĩnh mạch.</w:t>
            </w:r>
          </w:p>
        </w:tc>
      </w:tr>
      <w:tr w:rsidR="00AA344F" w:rsidRPr="00AA344F" w14:paraId="4EAA52F6" w14:textId="77777777" w:rsidTr="00C226F9">
        <w:trPr>
          <w:trHeight w:val="1242"/>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FF08602"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3</w:t>
            </w:r>
          </w:p>
        </w:tc>
        <w:tc>
          <w:tcPr>
            <w:tcW w:w="1599" w:type="dxa"/>
            <w:tcBorders>
              <w:top w:val="nil"/>
              <w:left w:val="nil"/>
              <w:bottom w:val="single" w:sz="4" w:space="0" w:color="auto"/>
              <w:right w:val="single" w:sz="4" w:space="0" w:color="auto"/>
            </w:tcBorders>
            <w:shd w:val="clear" w:color="auto" w:fill="auto"/>
            <w:vAlign w:val="center"/>
            <w:hideMark/>
          </w:tcPr>
          <w:p w14:paraId="3951C7FA"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Calci clorid dihydrat (dưới dạng Calci clorid hexahydrat)</w:t>
            </w:r>
          </w:p>
        </w:tc>
        <w:tc>
          <w:tcPr>
            <w:tcW w:w="1875" w:type="dxa"/>
            <w:tcBorders>
              <w:top w:val="nil"/>
              <w:left w:val="nil"/>
              <w:bottom w:val="single" w:sz="4" w:space="0" w:color="auto"/>
              <w:right w:val="single" w:sz="4" w:space="0" w:color="auto"/>
            </w:tcBorders>
            <w:shd w:val="clear" w:color="auto" w:fill="auto"/>
            <w:vAlign w:val="center"/>
            <w:hideMark/>
          </w:tcPr>
          <w:p w14:paraId="1171A614"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Ceftriaxon</w:t>
            </w:r>
          </w:p>
        </w:tc>
        <w:tc>
          <w:tcPr>
            <w:tcW w:w="2126" w:type="dxa"/>
            <w:tcBorders>
              <w:top w:val="nil"/>
              <w:left w:val="nil"/>
              <w:bottom w:val="single" w:sz="4" w:space="0" w:color="auto"/>
              <w:right w:val="single" w:sz="4" w:space="0" w:color="auto"/>
            </w:tcBorders>
            <w:shd w:val="clear" w:color="auto" w:fill="auto"/>
            <w:vAlign w:val="center"/>
            <w:hideMark/>
          </w:tcPr>
          <w:p w14:paraId="4FFD0217"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3846085E"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71BBDA15" w14:textId="47A6FB23"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5AF463EC" w14:textId="77777777" w:rsidTr="00C226F9">
        <w:trPr>
          <w:trHeight w:val="1500"/>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773D809B"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lastRenderedPageBreak/>
              <w:t>4</w:t>
            </w:r>
          </w:p>
        </w:tc>
        <w:tc>
          <w:tcPr>
            <w:tcW w:w="1599" w:type="dxa"/>
            <w:vMerge w:val="restart"/>
            <w:tcBorders>
              <w:top w:val="nil"/>
              <w:left w:val="single" w:sz="4" w:space="0" w:color="auto"/>
              <w:bottom w:val="single" w:sz="4" w:space="0" w:color="auto"/>
              <w:right w:val="single" w:sz="4" w:space="0" w:color="auto"/>
            </w:tcBorders>
            <w:shd w:val="clear" w:color="auto" w:fill="auto"/>
            <w:vAlign w:val="center"/>
            <w:hideMark/>
          </w:tcPr>
          <w:p w14:paraId="0D7BA0F7"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Ceftriaxon</w:t>
            </w:r>
          </w:p>
        </w:tc>
        <w:tc>
          <w:tcPr>
            <w:tcW w:w="1875" w:type="dxa"/>
            <w:tcBorders>
              <w:top w:val="nil"/>
              <w:left w:val="nil"/>
              <w:bottom w:val="single" w:sz="4" w:space="0" w:color="auto"/>
              <w:right w:val="single" w:sz="4" w:space="0" w:color="auto"/>
            </w:tcBorders>
            <w:shd w:val="clear" w:color="auto" w:fill="auto"/>
            <w:vAlign w:val="center"/>
            <w:hideMark/>
          </w:tcPr>
          <w:p w14:paraId="5ADAD183"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Dung dịch nuôi dưỡng đường tĩnh mạch chứa calci</w:t>
            </w:r>
          </w:p>
        </w:tc>
        <w:tc>
          <w:tcPr>
            <w:tcW w:w="2126" w:type="dxa"/>
            <w:tcBorders>
              <w:top w:val="nil"/>
              <w:left w:val="nil"/>
              <w:bottom w:val="single" w:sz="4" w:space="0" w:color="auto"/>
              <w:right w:val="single" w:sz="4" w:space="0" w:color="auto"/>
            </w:tcBorders>
            <w:shd w:val="clear" w:color="auto" w:fill="auto"/>
            <w:vAlign w:val="center"/>
            <w:hideMark/>
          </w:tcPr>
          <w:p w14:paraId="17A467C2"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192D36CD"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769C0839" w14:textId="6BFD50C5"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690AD7CA" w14:textId="77777777" w:rsidTr="00C226F9">
        <w:trPr>
          <w:trHeight w:val="1500"/>
        </w:trPr>
        <w:tc>
          <w:tcPr>
            <w:tcW w:w="632" w:type="dxa"/>
            <w:vMerge/>
            <w:tcBorders>
              <w:top w:val="nil"/>
              <w:left w:val="single" w:sz="4" w:space="0" w:color="auto"/>
              <w:bottom w:val="single" w:sz="4" w:space="0" w:color="auto"/>
              <w:right w:val="single" w:sz="4" w:space="0" w:color="auto"/>
            </w:tcBorders>
            <w:vAlign w:val="center"/>
            <w:hideMark/>
          </w:tcPr>
          <w:p w14:paraId="6CAA4041"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auto"/>
              <w:right w:val="single" w:sz="4" w:space="0" w:color="auto"/>
            </w:tcBorders>
            <w:vAlign w:val="center"/>
            <w:hideMark/>
          </w:tcPr>
          <w:p w14:paraId="5A6FF08D"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136C43A4"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Ringer Lactat</w:t>
            </w:r>
          </w:p>
        </w:tc>
        <w:tc>
          <w:tcPr>
            <w:tcW w:w="2126" w:type="dxa"/>
            <w:tcBorders>
              <w:top w:val="nil"/>
              <w:left w:val="nil"/>
              <w:bottom w:val="single" w:sz="4" w:space="0" w:color="auto"/>
              <w:right w:val="single" w:sz="4" w:space="0" w:color="auto"/>
            </w:tcBorders>
            <w:shd w:val="clear" w:color="auto" w:fill="auto"/>
            <w:vAlign w:val="center"/>
            <w:hideMark/>
          </w:tcPr>
          <w:p w14:paraId="3B6BAC11"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2CB4D893"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30E5556C" w14:textId="70107459"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5FA06CBA" w14:textId="77777777" w:rsidTr="00C226F9">
        <w:trPr>
          <w:trHeight w:val="1500"/>
        </w:trPr>
        <w:tc>
          <w:tcPr>
            <w:tcW w:w="632" w:type="dxa"/>
            <w:vMerge/>
            <w:tcBorders>
              <w:top w:val="nil"/>
              <w:left w:val="single" w:sz="4" w:space="0" w:color="auto"/>
              <w:bottom w:val="single" w:sz="4" w:space="0" w:color="auto"/>
              <w:right w:val="single" w:sz="4" w:space="0" w:color="auto"/>
            </w:tcBorders>
            <w:vAlign w:val="center"/>
            <w:hideMark/>
          </w:tcPr>
          <w:p w14:paraId="60054C21"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auto"/>
              <w:right w:val="single" w:sz="4" w:space="0" w:color="auto"/>
            </w:tcBorders>
            <w:vAlign w:val="center"/>
            <w:hideMark/>
          </w:tcPr>
          <w:p w14:paraId="46466F78"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172F348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Calci clorid</w:t>
            </w:r>
          </w:p>
        </w:tc>
        <w:tc>
          <w:tcPr>
            <w:tcW w:w="2126" w:type="dxa"/>
            <w:tcBorders>
              <w:top w:val="nil"/>
              <w:left w:val="nil"/>
              <w:bottom w:val="single" w:sz="4" w:space="0" w:color="auto"/>
              <w:right w:val="single" w:sz="4" w:space="0" w:color="auto"/>
            </w:tcBorders>
            <w:shd w:val="clear" w:color="auto" w:fill="auto"/>
            <w:vAlign w:val="center"/>
            <w:hideMark/>
          </w:tcPr>
          <w:p w14:paraId="08FDC72E"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0ACED76D"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3C2B2E6A" w14:textId="424C71FE"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27049896" w14:textId="77777777" w:rsidTr="00C226F9">
        <w:trPr>
          <w:trHeight w:val="1500"/>
        </w:trPr>
        <w:tc>
          <w:tcPr>
            <w:tcW w:w="632" w:type="dxa"/>
            <w:vMerge/>
            <w:tcBorders>
              <w:top w:val="nil"/>
              <w:left w:val="single" w:sz="4" w:space="0" w:color="auto"/>
              <w:bottom w:val="single" w:sz="4" w:space="0" w:color="auto"/>
              <w:right w:val="single" w:sz="4" w:space="0" w:color="auto"/>
            </w:tcBorders>
            <w:vAlign w:val="center"/>
            <w:hideMark/>
          </w:tcPr>
          <w:p w14:paraId="2877FBB4"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auto"/>
              <w:right w:val="single" w:sz="4" w:space="0" w:color="auto"/>
            </w:tcBorders>
            <w:vAlign w:val="center"/>
            <w:hideMark/>
          </w:tcPr>
          <w:p w14:paraId="1E0003F5"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01A48023"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Calci glubionat</w:t>
            </w:r>
          </w:p>
        </w:tc>
        <w:tc>
          <w:tcPr>
            <w:tcW w:w="2126" w:type="dxa"/>
            <w:tcBorders>
              <w:top w:val="nil"/>
              <w:left w:val="nil"/>
              <w:bottom w:val="single" w:sz="4" w:space="0" w:color="auto"/>
              <w:right w:val="single" w:sz="4" w:space="0" w:color="auto"/>
            </w:tcBorders>
            <w:shd w:val="clear" w:color="auto" w:fill="auto"/>
            <w:vAlign w:val="center"/>
            <w:hideMark/>
          </w:tcPr>
          <w:p w14:paraId="1ED45FB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5467936B"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248F42DB" w14:textId="09BDFA43"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6F2565A8" w14:textId="77777777" w:rsidTr="00C226F9">
        <w:trPr>
          <w:trHeight w:val="1500"/>
        </w:trPr>
        <w:tc>
          <w:tcPr>
            <w:tcW w:w="632" w:type="dxa"/>
            <w:vMerge/>
            <w:tcBorders>
              <w:top w:val="nil"/>
              <w:left w:val="single" w:sz="4" w:space="0" w:color="auto"/>
              <w:bottom w:val="single" w:sz="4" w:space="0" w:color="auto"/>
              <w:right w:val="single" w:sz="4" w:space="0" w:color="auto"/>
            </w:tcBorders>
            <w:vAlign w:val="center"/>
            <w:hideMark/>
          </w:tcPr>
          <w:p w14:paraId="765E81D7"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auto"/>
              <w:right w:val="single" w:sz="4" w:space="0" w:color="auto"/>
            </w:tcBorders>
            <w:vAlign w:val="center"/>
            <w:hideMark/>
          </w:tcPr>
          <w:p w14:paraId="22A7FCA9"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21949412"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Calci gluconat</w:t>
            </w:r>
          </w:p>
        </w:tc>
        <w:tc>
          <w:tcPr>
            <w:tcW w:w="2126" w:type="dxa"/>
            <w:tcBorders>
              <w:top w:val="nil"/>
              <w:left w:val="nil"/>
              <w:bottom w:val="single" w:sz="4" w:space="0" w:color="auto"/>
              <w:right w:val="single" w:sz="4" w:space="0" w:color="auto"/>
            </w:tcBorders>
            <w:shd w:val="clear" w:color="auto" w:fill="auto"/>
            <w:vAlign w:val="center"/>
            <w:hideMark/>
          </w:tcPr>
          <w:p w14:paraId="5C01449D"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tcBorders>
              <w:top w:val="nil"/>
              <w:left w:val="nil"/>
              <w:bottom w:val="single" w:sz="4" w:space="0" w:color="auto"/>
              <w:right w:val="single" w:sz="4" w:space="0" w:color="auto"/>
            </w:tcBorders>
            <w:shd w:val="clear" w:color="auto" w:fill="auto"/>
            <w:vAlign w:val="center"/>
            <w:hideMark/>
          </w:tcPr>
          <w:p w14:paraId="37B21F37"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47645533" w14:textId="58369FC6"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6F604578" w14:textId="77777777" w:rsidTr="00C226F9">
        <w:trPr>
          <w:trHeight w:val="1200"/>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08B9DFF6"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lastRenderedPageBreak/>
              <w:t>5</w:t>
            </w:r>
          </w:p>
        </w:tc>
        <w:tc>
          <w:tcPr>
            <w:tcW w:w="1599" w:type="dxa"/>
            <w:vMerge w:val="restart"/>
            <w:tcBorders>
              <w:top w:val="nil"/>
              <w:left w:val="single" w:sz="4" w:space="0" w:color="auto"/>
              <w:bottom w:val="single" w:sz="4" w:space="0" w:color="000000"/>
              <w:right w:val="single" w:sz="4" w:space="0" w:color="auto"/>
            </w:tcBorders>
            <w:shd w:val="clear" w:color="auto" w:fill="auto"/>
            <w:vAlign w:val="center"/>
            <w:hideMark/>
          </w:tcPr>
          <w:p w14:paraId="5DD192A5"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w:t>
            </w:r>
          </w:p>
        </w:tc>
        <w:tc>
          <w:tcPr>
            <w:tcW w:w="1875" w:type="dxa"/>
            <w:tcBorders>
              <w:top w:val="nil"/>
              <w:left w:val="nil"/>
              <w:bottom w:val="single" w:sz="4" w:space="0" w:color="auto"/>
              <w:right w:val="single" w:sz="4" w:space="0" w:color="auto"/>
            </w:tcBorders>
            <w:shd w:val="clear" w:color="auto" w:fill="auto"/>
            <w:vAlign w:val="center"/>
            <w:hideMark/>
          </w:tcPr>
          <w:p w14:paraId="4BF39936"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Simvastatin</w:t>
            </w:r>
          </w:p>
        </w:tc>
        <w:tc>
          <w:tcPr>
            <w:tcW w:w="2126" w:type="dxa"/>
            <w:tcBorders>
              <w:top w:val="nil"/>
              <w:left w:val="nil"/>
              <w:bottom w:val="single" w:sz="4" w:space="0" w:color="auto"/>
              <w:right w:val="single" w:sz="4" w:space="0" w:color="auto"/>
            </w:tcBorders>
            <w:shd w:val="clear" w:color="auto" w:fill="auto"/>
            <w:vAlign w:val="center"/>
            <w:hideMark/>
          </w:tcPr>
          <w:p w14:paraId="5B497B37"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 ức chế CYP3A4 mạnh làm giảm chuyển hóa của simvastatin</w:t>
            </w:r>
          </w:p>
        </w:tc>
        <w:tc>
          <w:tcPr>
            <w:tcW w:w="4462" w:type="dxa"/>
            <w:tcBorders>
              <w:top w:val="nil"/>
              <w:left w:val="nil"/>
              <w:bottom w:val="single" w:sz="4" w:space="0" w:color="auto"/>
              <w:right w:val="single" w:sz="4" w:space="0" w:color="auto"/>
            </w:tcBorders>
            <w:shd w:val="clear" w:color="auto" w:fill="auto"/>
            <w:vAlign w:val="center"/>
            <w:hideMark/>
          </w:tcPr>
          <w:p w14:paraId="2D08DB93"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của simvastatin trong huyết thanh, tăng nguy cơ bệnh cơ hoặc tiêu cơ vân cấp</w:t>
            </w:r>
          </w:p>
        </w:tc>
        <w:tc>
          <w:tcPr>
            <w:tcW w:w="4026" w:type="dxa"/>
            <w:tcBorders>
              <w:top w:val="nil"/>
              <w:left w:val="nil"/>
              <w:bottom w:val="single" w:sz="4" w:space="0" w:color="auto"/>
              <w:right w:val="single" w:sz="4" w:space="0" w:color="auto"/>
            </w:tcBorders>
            <w:shd w:val="clear" w:color="auto" w:fill="auto"/>
            <w:vAlign w:val="center"/>
            <w:hideMark/>
          </w:tcPr>
          <w:p w14:paraId="47DC7423"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phối hợp. Cân nhắc thay đổi sang các thuốc nhóm khác có cùng chỉ định và ít có nguy cơ tương tác hơn:</w:t>
            </w:r>
          </w:p>
        </w:tc>
      </w:tr>
      <w:tr w:rsidR="00AA344F" w:rsidRPr="00AA344F" w14:paraId="613A5B8D" w14:textId="77777777" w:rsidTr="00C226F9">
        <w:trPr>
          <w:trHeight w:val="2400"/>
        </w:trPr>
        <w:tc>
          <w:tcPr>
            <w:tcW w:w="632" w:type="dxa"/>
            <w:vMerge/>
            <w:tcBorders>
              <w:top w:val="nil"/>
              <w:left w:val="single" w:sz="4" w:space="0" w:color="auto"/>
              <w:bottom w:val="single" w:sz="4" w:space="0" w:color="auto"/>
              <w:right w:val="single" w:sz="4" w:space="0" w:color="auto"/>
            </w:tcBorders>
            <w:vAlign w:val="center"/>
            <w:hideMark/>
          </w:tcPr>
          <w:p w14:paraId="5B55F5DE"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000000"/>
              <w:right w:val="single" w:sz="4" w:space="0" w:color="auto"/>
            </w:tcBorders>
            <w:vAlign w:val="center"/>
            <w:hideMark/>
          </w:tcPr>
          <w:p w14:paraId="0BC6276F"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4BE3826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Colchicin</w:t>
            </w:r>
          </w:p>
        </w:tc>
        <w:tc>
          <w:tcPr>
            <w:tcW w:w="2126" w:type="dxa"/>
            <w:tcBorders>
              <w:top w:val="nil"/>
              <w:left w:val="nil"/>
              <w:bottom w:val="single" w:sz="4" w:space="0" w:color="auto"/>
              <w:right w:val="single" w:sz="4" w:space="0" w:color="auto"/>
            </w:tcBorders>
            <w:shd w:val="clear" w:color="auto" w:fill="auto"/>
            <w:vAlign w:val="center"/>
            <w:hideMark/>
          </w:tcPr>
          <w:p w14:paraId="720D676D"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 ức chế mạnh CYP3A4 và ức chế P-gp làm giảm chuyển hóa và thải trừ colchicin.</w:t>
            </w:r>
          </w:p>
        </w:tc>
        <w:tc>
          <w:tcPr>
            <w:tcW w:w="4462" w:type="dxa"/>
            <w:tcBorders>
              <w:top w:val="nil"/>
              <w:left w:val="nil"/>
              <w:bottom w:val="single" w:sz="4" w:space="0" w:color="auto"/>
              <w:right w:val="single" w:sz="4" w:space="0" w:color="auto"/>
            </w:tcBorders>
            <w:shd w:val="clear" w:color="auto" w:fill="auto"/>
            <w:vAlign w:val="center"/>
            <w:hideMark/>
          </w:tcPr>
          <w:p w14:paraId="0745B68A"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colchicin trong huyết thanh, tăng nguy cơ tác dụng độc tính (tiêu chảy, nôn, đau bụng, sốt, xuất huyết, giảm cả ba dòng tế bào máu, các dấu hiệu độc tính trên cơ như đau cơ, mỏi cơ hoặc yếu cơ, nước tiểu sẫm màu, dị cảm, trường hợp nặng có thể gây suy đa tạng và tử vong).</w:t>
            </w:r>
          </w:p>
        </w:tc>
        <w:tc>
          <w:tcPr>
            <w:tcW w:w="4026" w:type="dxa"/>
            <w:tcBorders>
              <w:top w:val="nil"/>
              <w:left w:val="nil"/>
              <w:bottom w:val="single" w:sz="4" w:space="0" w:color="auto"/>
              <w:right w:val="single" w:sz="4" w:space="0" w:color="auto"/>
            </w:tcBorders>
            <w:shd w:val="clear" w:color="auto" w:fill="auto"/>
            <w:vAlign w:val="center"/>
            <w:hideMark/>
          </w:tcPr>
          <w:p w14:paraId="18787C04" w14:textId="429C5B0D"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ở bệnh nhân suy gan hoặc suy thận.</w:t>
            </w:r>
          </w:p>
        </w:tc>
      </w:tr>
      <w:tr w:rsidR="00AA344F" w:rsidRPr="00AA344F" w14:paraId="2D4F8F3D" w14:textId="77777777" w:rsidTr="00C226F9">
        <w:trPr>
          <w:trHeight w:val="1200"/>
        </w:trPr>
        <w:tc>
          <w:tcPr>
            <w:tcW w:w="632" w:type="dxa"/>
            <w:vMerge/>
            <w:tcBorders>
              <w:top w:val="nil"/>
              <w:left w:val="single" w:sz="4" w:space="0" w:color="auto"/>
              <w:bottom w:val="single" w:sz="4" w:space="0" w:color="auto"/>
              <w:right w:val="single" w:sz="4" w:space="0" w:color="auto"/>
            </w:tcBorders>
            <w:vAlign w:val="center"/>
            <w:hideMark/>
          </w:tcPr>
          <w:p w14:paraId="16D70F9C" w14:textId="77777777" w:rsidR="00042608" w:rsidRPr="00AA344F" w:rsidRDefault="00042608" w:rsidP="00042608">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000000"/>
              <w:right w:val="single" w:sz="4" w:space="0" w:color="auto"/>
            </w:tcBorders>
            <w:vAlign w:val="center"/>
            <w:hideMark/>
          </w:tcPr>
          <w:p w14:paraId="537E8FEA" w14:textId="77777777" w:rsidR="00042608" w:rsidRPr="00AA344F" w:rsidRDefault="00042608" w:rsidP="00042608">
            <w:pPr>
              <w:spacing w:after="0" w:line="240" w:lineRule="auto"/>
              <w:rPr>
                <w:rFonts w:eastAsia="Times New Roman"/>
                <w:color w:val="000000" w:themeColor="text1"/>
                <w:sz w:val="22"/>
                <w:szCs w:val="22"/>
              </w:rPr>
            </w:pPr>
          </w:p>
        </w:tc>
        <w:tc>
          <w:tcPr>
            <w:tcW w:w="1875" w:type="dxa"/>
            <w:tcBorders>
              <w:top w:val="nil"/>
              <w:left w:val="nil"/>
              <w:bottom w:val="single" w:sz="4" w:space="0" w:color="auto"/>
              <w:right w:val="single" w:sz="4" w:space="0" w:color="auto"/>
            </w:tcBorders>
            <w:shd w:val="clear" w:color="auto" w:fill="auto"/>
            <w:vAlign w:val="center"/>
            <w:hideMark/>
          </w:tcPr>
          <w:p w14:paraId="3963DF59"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Methylergometrin</w:t>
            </w:r>
          </w:p>
        </w:tc>
        <w:tc>
          <w:tcPr>
            <w:tcW w:w="2126" w:type="dxa"/>
            <w:tcBorders>
              <w:top w:val="nil"/>
              <w:left w:val="nil"/>
              <w:bottom w:val="single" w:sz="4" w:space="0" w:color="auto"/>
              <w:right w:val="single" w:sz="4" w:space="0" w:color="auto"/>
            </w:tcBorders>
            <w:shd w:val="clear" w:color="auto" w:fill="auto"/>
            <w:vAlign w:val="center"/>
            <w:hideMark/>
          </w:tcPr>
          <w:p w14:paraId="477C1CEB"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 ức chế CYP3A4 mạnh làm giảm chuyển hóa của methylergometrin</w:t>
            </w:r>
          </w:p>
        </w:tc>
        <w:tc>
          <w:tcPr>
            <w:tcW w:w="4462" w:type="dxa"/>
            <w:tcBorders>
              <w:top w:val="nil"/>
              <w:left w:val="nil"/>
              <w:bottom w:val="single" w:sz="4" w:space="0" w:color="auto"/>
              <w:right w:val="single" w:sz="4" w:space="0" w:color="auto"/>
            </w:tcBorders>
            <w:shd w:val="clear" w:color="auto" w:fill="auto"/>
            <w:vAlign w:val="center"/>
            <w:hideMark/>
          </w:tcPr>
          <w:p w14:paraId="7F6E3710"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của methylergometrin trong huyết thanh, tăng nguy cơ độc tính (nôn, buồn nôn, hoại tử đầu chi, thiếu máu cục bộ do co thắt mạch…)</w:t>
            </w:r>
          </w:p>
        </w:tc>
        <w:tc>
          <w:tcPr>
            <w:tcW w:w="4026" w:type="dxa"/>
            <w:tcBorders>
              <w:top w:val="nil"/>
              <w:left w:val="nil"/>
              <w:bottom w:val="single" w:sz="4" w:space="0" w:color="auto"/>
              <w:right w:val="single" w:sz="4" w:space="0" w:color="auto"/>
            </w:tcBorders>
            <w:shd w:val="clear" w:color="auto" w:fill="auto"/>
            <w:vAlign w:val="center"/>
            <w:hideMark/>
          </w:tcPr>
          <w:p w14:paraId="42435CE5" w14:textId="77777777" w:rsidR="00042608" w:rsidRPr="00AA344F" w:rsidRDefault="00042608" w:rsidP="00042608">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phối hợp</w:t>
            </w:r>
          </w:p>
        </w:tc>
      </w:tr>
      <w:tr w:rsidR="00AA344F" w:rsidRPr="00AA344F" w14:paraId="2B525FBF" w14:textId="77777777" w:rsidTr="00C226F9">
        <w:trPr>
          <w:trHeight w:val="1200"/>
        </w:trPr>
        <w:tc>
          <w:tcPr>
            <w:tcW w:w="632" w:type="dxa"/>
            <w:tcBorders>
              <w:top w:val="nil"/>
              <w:left w:val="single" w:sz="4" w:space="0" w:color="auto"/>
              <w:bottom w:val="single" w:sz="4" w:space="0" w:color="auto"/>
              <w:right w:val="single" w:sz="4" w:space="0" w:color="auto"/>
            </w:tcBorders>
            <w:vAlign w:val="center"/>
          </w:tcPr>
          <w:p w14:paraId="24C86EC0" w14:textId="2F2DEFD7" w:rsidR="00C226F9" w:rsidRPr="00AA344F" w:rsidRDefault="00C226F9" w:rsidP="00C226F9">
            <w:pPr>
              <w:spacing w:after="0" w:line="240" w:lineRule="auto"/>
              <w:rPr>
                <w:rFonts w:eastAsia="Times New Roman"/>
                <w:color w:val="000000" w:themeColor="text1"/>
                <w:sz w:val="22"/>
                <w:szCs w:val="22"/>
              </w:rPr>
            </w:pPr>
            <w:r w:rsidRPr="00AA344F">
              <w:rPr>
                <w:rFonts w:eastAsia="Times New Roman"/>
                <w:color w:val="000000" w:themeColor="text1"/>
                <w:sz w:val="22"/>
                <w:szCs w:val="22"/>
              </w:rPr>
              <w:t>6</w:t>
            </w:r>
          </w:p>
        </w:tc>
        <w:tc>
          <w:tcPr>
            <w:tcW w:w="1599" w:type="dxa"/>
            <w:tcBorders>
              <w:top w:val="nil"/>
              <w:left w:val="nil"/>
              <w:bottom w:val="single" w:sz="4" w:space="0" w:color="auto"/>
              <w:right w:val="single" w:sz="4" w:space="0" w:color="auto"/>
            </w:tcBorders>
            <w:shd w:val="clear" w:color="auto" w:fill="auto"/>
            <w:vAlign w:val="center"/>
          </w:tcPr>
          <w:p w14:paraId="384D7333" w14:textId="2B0E5D85" w:rsidR="00C226F9" w:rsidRPr="00AA344F" w:rsidRDefault="00C226F9" w:rsidP="00C226F9">
            <w:pPr>
              <w:spacing w:after="0" w:line="240" w:lineRule="auto"/>
              <w:rPr>
                <w:rFonts w:eastAsia="Times New Roman"/>
                <w:color w:val="000000" w:themeColor="text1"/>
                <w:sz w:val="22"/>
                <w:szCs w:val="22"/>
              </w:rPr>
            </w:pPr>
            <w:r w:rsidRPr="00AA344F">
              <w:rPr>
                <w:rFonts w:eastAsia="Times New Roman"/>
                <w:color w:val="000000" w:themeColor="text1"/>
                <w:sz w:val="22"/>
                <w:szCs w:val="22"/>
              </w:rPr>
              <w:t>Kali clorid</w:t>
            </w:r>
          </w:p>
        </w:tc>
        <w:tc>
          <w:tcPr>
            <w:tcW w:w="1875" w:type="dxa"/>
            <w:tcBorders>
              <w:top w:val="nil"/>
              <w:left w:val="nil"/>
              <w:bottom w:val="single" w:sz="4" w:space="0" w:color="auto"/>
              <w:right w:val="single" w:sz="4" w:space="0" w:color="auto"/>
            </w:tcBorders>
            <w:shd w:val="clear" w:color="auto" w:fill="auto"/>
            <w:vAlign w:val="center"/>
          </w:tcPr>
          <w:p w14:paraId="0E492EE4" w14:textId="612684DE"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Atropin</w:t>
            </w:r>
          </w:p>
        </w:tc>
        <w:tc>
          <w:tcPr>
            <w:tcW w:w="2126" w:type="dxa"/>
            <w:tcBorders>
              <w:top w:val="nil"/>
              <w:left w:val="nil"/>
              <w:bottom w:val="single" w:sz="4" w:space="0" w:color="auto"/>
              <w:right w:val="single" w:sz="4" w:space="0" w:color="auto"/>
            </w:tcBorders>
            <w:shd w:val="clear" w:color="auto" w:fill="auto"/>
            <w:vAlign w:val="center"/>
          </w:tcPr>
          <w:p w14:paraId="28989F9F" w14:textId="1DC4126A"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Atropin kháng cholinergic gây tồn lưu hoặc làm tăng thời gian kali qua đường tiêu hóa khi sử dụng đường uống, gây loét đường tiêu hóa</w:t>
            </w:r>
          </w:p>
        </w:tc>
        <w:tc>
          <w:tcPr>
            <w:tcW w:w="4462" w:type="dxa"/>
            <w:tcBorders>
              <w:top w:val="nil"/>
              <w:left w:val="nil"/>
              <w:bottom w:val="single" w:sz="4" w:space="0" w:color="auto"/>
              <w:right w:val="single" w:sz="4" w:space="0" w:color="auto"/>
            </w:tcBorders>
            <w:shd w:val="clear" w:color="auto" w:fill="auto"/>
            <w:vAlign w:val="center"/>
          </w:tcPr>
          <w:p w14:paraId="0230527C" w14:textId="0603373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nguy cơ loét tiêu hóa</w:t>
            </w:r>
          </w:p>
        </w:tc>
        <w:tc>
          <w:tcPr>
            <w:tcW w:w="4026" w:type="dxa"/>
            <w:tcBorders>
              <w:top w:val="nil"/>
              <w:left w:val="nil"/>
              <w:bottom w:val="single" w:sz="4" w:space="0" w:color="auto"/>
              <w:right w:val="single" w:sz="4" w:space="0" w:color="auto"/>
            </w:tcBorders>
            <w:shd w:val="clear" w:color="auto" w:fill="auto"/>
            <w:vAlign w:val="center"/>
          </w:tcPr>
          <w:p w14:paraId="12D9099C" w14:textId="035DDFB0"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Tốt nhất nên tránh phối hợp, đặc biệt ở người cao tuổi. Cân nhắc chuyển sang sử dụng kali đường tĩnh mạch.</w:t>
            </w:r>
          </w:p>
        </w:tc>
      </w:tr>
      <w:tr w:rsidR="00AA344F" w:rsidRPr="00AA344F" w14:paraId="5AC9F8C6" w14:textId="77777777" w:rsidTr="00C226F9">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2BDE75B0"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7</w:t>
            </w:r>
          </w:p>
        </w:tc>
        <w:tc>
          <w:tcPr>
            <w:tcW w:w="1599" w:type="dxa"/>
            <w:tcBorders>
              <w:top w:val="nil"/>
              <w:left w:val="nil"/>
              <w:bottom w:val="single" w:sz="4" w:space="0" w:color="auto"/>
              <w:right w:val="single" w:sz="4" w:space="0" w:color="auto"/>
            </w:tcBorders>
            <w:shd w:val="clear" w:color="auto" w:fill="auto"/>
            <w:vAlign w:val="center"/>
            <w:hideMark/>
          </w:tcPr>
          <w:p w14:paraId="10559983" w14:textId="77777777" w:rsidR="00C226F9" w:rsidRPr="00AA344F" w:rsidRDefault="00C226F9" w:rsidP="00C226F9">
            <w:pPr>
              <w:spacing w:after="0" w:line="240" w:lineRule="auto"/>
              <w:rPr>
                <w:rFonts w:eastAsia="Times New Roman"/>
                <w:color w:val="000000" w:themeColor="text1"/>
                <w:sz w:val="22"/>
                <w:szCs w:val="22"/>
              </w:rPr>
            </w:pPr>
            <w:r w:rsidRPr="00AA344F">
              <w:rPr>
                <w:rFonts w:eastAsia="Times New Roman"/>
                <w:color w:val="000000" w:themeColor="text1"/>
                <w:sz w:val="22"/>
                <w:szCs w:val="22"/>
              </w:rPr>
              <w:t>Lovastatin</w:t>
            </w:r>
          </w:p>
        </w:tc>
        <w:tc>
          <w:tcPr>
            <w:tcW w:w="1875" w:type="dxa"/>
            <w:tcBorders>
              <w:top w:val="nil"/>
              <w:left w:val="nil"/>
              <w:bottom w:val="single" w:sz="4" w:space="0" w:color="auto"/>
              <w:right w:val="single" w:sz="4" w:space="0" w:color="auto"/>
            </w:tcBorders>
            <w:shd w:val="clear" w:color="auto" w:fill="auto"/>
            <w:vAlign w:val="center"/>
            <w:hideMark/>
          </w:tcPr>
          <w:p w14:paraId="3EEEEF63"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w:t>
            </w:r>
          </w:p>
        </w:tc>
        <w:tc>
          <w:tcPr>
            <w:tcW w:w="2126" w:type="dxa"/>
            <w:tcBorders>
              <w:top w:val="nil"/>
              <w:left w:val="nil"/>
              <w:bottom w:val="single" w:sz="4" w:space="0" w:color="auto"/>
              <w:right w:val="single" w:sz="4" w:space="0" w:color="auto"/>
            </w:tcBorders>
            <w:shd w:val="clear" w:color="auto" w:fill="auto"/>
            <w:vAlign w:val="center"/>
            <w:hideMark/>
          </w:tcPr>
          <w:p w14:paraId="6F6276AA"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 ức chế CYP3A4 mạnh làm giảm chuyển hóa của lovastatin</w:t>
            </w:r>
          </w:p>
        </w:tc>
        <w:tc>
          <w:tcPr>
            <w:tcW w:w="4462" w:type="dxa"/>
            <w:tcBorders>
              <w:top w:val="nil"/>
              <w:left w:val="nil"/>
              <w:bottom w:val="single" w:sz="4" w:space="0" w:color="auto"/>
              <w:right w:val="single" w:sz="4" w:space="0" w:color="auto"/>
            </w:tcBorders>
            <w:shd w:val="clear" w:color="auto" w:fill="auto"/>
            <w:vAlign w:val="center"/>
            <w:hideMark/>
          </w:tcPr>
          <w:p w14:paraId="2F6F3F76"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của lovastatin trong huyết thanh, tăng nguy cơ bệnh cơ hoặc tiêu cơ vân cấp</w:t>
            </w:r>
          </w:p>
        </w:tc>
        <w:tc>
          <w:tcPr>
            <w:tcW w:w="4026" w:type="dxa"/>
            <w:tcBorders>
              <w:top w:val="nil"/>
              <w:left w:val="nil"/>
              <w:bottom w:val="single" w:sz="4" w:space="0" w:color="auto"/>
              <w:right w:val="single" w:sz="4" w:space="0" w:color="auto"/>
            </w:tcBorders>
            <w:shd w:val="clear" w:color="auto" w:fill="auto"/>
            <w:vAlign w:val="center"/>
            <w:hideMark/>
          </w:tcPr>
          <w:p w14:paraId="59E25454"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phối hợp. Cân nhắc thay đổi sang các thuốc nhóm khác có cùng chỉ định và ít có nguy cơ tương tác hơn:</w:t>
            </w:r>
          </w:p>
        </w:tc>
      </w:tr>
      <w:tr w:rsidR="00AA344F" w:rsidRPr="00AA344F" w14:paraId="2C062856" w14:textId="77777777" w:rsidTr="00C226F9">
        <w:trPr>
          <w:trHeight w:val="1200"/>
        </w:trPr>
        <w:tc>
          <w:tcPr>
            <w:tcW w:w="632" w:type="dxa"/>
            <w:tcBorders>
              <w:top w:val="nil"/>
              <w:left w:val="single" w:sz="4" w:space="0" w:color="auto"/>
              <w:bottom w:val="single" w:sz="4" w:space="0" w:color="auto"/>
              <w:right w:val="single" w:sz="4" w:space="0" w:color="auto"/>
            </w:tcBorders>
            <w:shd w:val="clear" w:color="auto" w:fill="auto"/>
            <w:vAlign w:val="center"/>
            <w:hideMark/>
          </w:tcPr>
          <w:p w14:paraId="1159B11A"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lastRenderedPageBreak/>
              <w:t>8</w:t>
            </w:r>
          </w:p>
        </w:tc>
        <w:tc>
          <w:tcPr>
            <w:tcW w:w="1599" w:type="dxa"/>
            <w:tcBorders>
              <w:top w:val="nil"/>
              <w:left w:val="nil"/>
              <w:bottom w:val="single" w:sz="4" w:space="0" w:color="auto"/>
              <w:right w:val="single" w:sz="4" w:space="0" w:color="auto"/>
            </w:tcBorders>
            <w:shd w:val="clear" w:color="auto" w:fill="auto"/>
            <w:vAlign w:val="center"/>
            <w:hideMark/>
          </w:tcPr>
          <w:p w14:paraId="38EBFEDF" w14:textId="77777777" w:rsidR="00C226F9" w:rsidRPr="00AA344F" w:rsidRDefault="00C226F9" w:rsidP="00C226F9">
            <w:pPr>
              <w:spacing w:after="0" w:line="240" w:lineRule="auto"/>
              <w:rPr>
                <w:rFonts w:eastAsia="Times New Roman"/>
                <w:color w:val="000000" w:themeColor="text1"/>
                <w:sz w:val="22"/>
                <w:szCs w:val="22"/>
              </w:rPr>
            </w:pPr>
            <w:r w:rsidRPr="00AA344F">
              <w:rPr>
                <w:rFonts w:eastAsia="Times New Roman"/>
                <w:color w:val="000000" w:themeColor="text1"/>
                <w:sz w:val="22"/>
                <w:szCs w:val="22"/>
              </w:rPr>
              <w:t>Methyl ergometrin (maleat)</w:t>
            </w:r>
          </w:p>
        </w:tc>
        <w:tc>
          <w:tcPr>
            <w:tcW w:w="1875" w:type="dxa"/>
            <w:tcBorders>
              <w:top w:val="nil"/>
              <w:left w:val="nil"/>
              <w:bottom w:val="single" w:sz="4" w:space="0" w:color="auto"/>
              <w:right w:val="single" w:sz="4" w:space="0" w:color="auto"/>
            </w:tcBorders>
            <w:shd w:val="clear" w:color="auto" w:fill="auto"/>
            <w:vAlign w:val="center"/>
            <w:hideMark/>
          </w:tcPr>
          <w:p w14:paraId="509D9557"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w:t>
            </w:r>
          </w:p>
        </w:tc>
        <w:tc>
          <w:tcPr>
            <w:tcW w:w="2126" w:type="dxa"/>
            <w:tcBorders>
              <w:top w:val="nil"/>
              <w:left w:val="nil"/>
              <w:bottom w:val="single" w:sz="4" w:space="0" w:color="auto"/>
              <w:right w:val="single" w:sz="4" w:space="0" w:color="auto"/>
            </w:tcBorders>
            <w:shd w:val="clear" w:color="auto" w:fill="auto"/>
            <w:vAlign w:val="center"/>
            <w:hideMark/>
          </w:tcPr>
          <w:p w14:paraId="48770CC3"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Clarithromycin ức chế CYP3A4 mạnh làm giảm chuyển hóa của methylergometrin</w:t>
            </w:r>
          </w:p>
        </w:tc>
        <w:tc>
          <w:tcPr>
            <w:tcW w:w="4462" w:type="dxa"/>
            <w:tcBorders>
              <w:top w:val="nil"/>
              <w:left w:val="nil"/>
              <w:bottom w:val="single" w:sz="4" w:space="0" w:color="auto"/>
              <w:right w:val="single" w:sz="4" w:space="0" w:color="auto"/>
            </w:tcBorders>
            <w:shd w:val="clear" w:color="auto" w:fill="auto"/>
            <w:vAlign w:val="center"/>
            <w:hideMark/>
          </w:tcPr>
          <w:p w14:paraId="1A316CBC"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Tăng nồng độ của methylergometrin trong huyết thanh, tăng nguy cơ độc tính (nôn, buồn nôn, hoại tử đầu chi, thiếu máu cục bộ do co thắt mạch…)</w:t>
            </w:r>
          </w:p>
        </w:tc>
        <w:tc>
          <w:tcPr>
            <w:tcW w:w="4026" w:type="dxa"/>
            <w:tcBorders>
              <w:top w:val="nil"/>
              <w:left w:val="nil"/>
              <w:bottom w:val="single" w:sz="4" w:space="0" w:color="auto"/>
              <w:right w:val="single" w:sz="4" w:space="0" w:color="auto"/>
            </w:tcBorders>
            <w:shd w:val="clear" w:color="auto" w:fill="auto"/>
            <w:vAlign w:val="center"/>
            <w:hideMark/>
          </w:tcPr>
          <w:p w14:paraId="75251E3E"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phối hợp</w:t>
            </w:r>
          </w:p>
        </w:tc>
      </w:tr>
      <w:tr w:rsidR="00AA344F" w:rsidRPr="00AA344F" w14:paraId="1F38D9AF" w14:textId="77777777" w:rsidTr="00C226F9">
        <w:trPr>
          <w:trHeight w:val="600"/>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03462FCE"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9</w:t>
            </w:r>
          </w:p>
        </w:tc>
        <w:tc>
          <w:tcPr>
            <w:tcW w:w="1599" w:type="dxa"/>
            <w:vMerge w:val="restart"/>
            <w:tcBorders>
              <w:top w:val="nil"/>
              <w:left w:val="single" w:sz="4" w:space="0" w:color="auto"/>
              <w:bottom w:val="single" w:sz="4" w:space="0" w:color="auto"/>
              <w:right w:val="single" w:sz="4" w:space="0" w:color="auto"/>
            </w:tcBorders>
            <w:shd w:val="clear" w:color="auto" w:fill="auto"/>
            <w:vAlign w:val="center"/>
            <w:hideMark/>
          </w:tcPr>
          <w:p w14:paraId="36A4AD08"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Ringer lactat</w:t>
            </w:r>
          </w:p>
        </w:tc>
        <w:tc>
          <w:tcPr>
            <w:tcW w:w="1875" w:type="dxa"/>
            <w:vMerge w:val="restart"/>
            <w:tcBorders>
              <w:top w:val="nil"/>
              <w:left w:val="single" w:sz="4" w:space="0" w:color="auto"/>
              <w:bottom w:val="single" w:sz="4" w:space="0" w:color="auto"/>
              <w:right w:val="single" w:sz="4" w:space="0" w:color="auto"/>
            </w:tcBorders>
            <w:shd w:val="clear" w:color="auto" w:fill="auto"/>
            <w:vAlign w:val="center"/>
            <w:hideMark/>
          </w:tcPr>
          <w:p w14:paraId="668ED26A"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Ceftriaxon</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02B1A6E"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Hình thành tủa calci - ceftriaxon tại mô phổi và thận khi dùng đồng thời đường tĩnh mạch ở trẻ sơ sinh</w:t>
            </w:r>
          </w:p>
        </w:tc>
        <w:tc>
          <w:tcPr>
            <w:tcW w:w="4462" w:type="dxa"/>
            <w:vMerge w:val="restart"/>
            <w:tcBorders>
              <w:top w:val="nil"/>
              <w:left w:val="single" w:sz="4" w:space="0" w:color="auto"/>
              <w:bottom w:val="single" w:sz="4" w:space="0" w:color="auto"/>
              <w:right w:val="single" w:sz="4" w:space="0" w:color="auto"/>
            </w:tcBorders>
            <w:shd w:val="clear" w:color="auto" w:fill="auto"/>
            <w:vAlign w:val="center"/>
            <w:hideMark/>
          </w:tcPr>
          <w:p w14:paraId="60A1B358" w14:textId="77777777"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Tạo kết tủa tại phổi và thận, có thể dẫn đến tử vong ở trẻ sơ sinh</w:t>
            </w:r>
          </w:p>
        </w:tc>
        <w:tc>
          <w:tcPr>
            <w:tcW w:w="4026" w:type="dxa"/>
            <w:tcBorders>
              <w:top w:val="nil"/>
              <w:left w:val="nil"/>
              <w:bottom w:val="single" w:sz="4" w:space="0" w:color="auto"/>
              <w:right w:val="single" w:sz="4" w:space="0" w:color="auto"/>
            </w:tcBorders>
            <w:shd w:val="clear" w:color="auto" w:fill="auto"/>
            <w:vAlign w:val="center"/>
            <w:hideMark/>
          </w:tcPr>
          <w:p w14:paraId="366A1874" w14:textId="435B0DDF"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Chống chỉ định sử dụng đồng thời ở trẻ sơ sinh (&lt; 28 ngày tuổi).</w:t>
            </w:r>
          </w:p>
        </w:tc>
      </w:tr>
      <w:tr w:rsidR="00AA344F" w:rsidRPr="00AA344F" w14:paraId="42EB6DDB" w14:textId="77777777" w:rsidTr="00C226F9">
        <w:trPr>
          <w:trHeight w:val="1800"/>
        </w:trPr>
        <w:tc>
          <w:tcPr>
            <w:tcW w:w="632" w:type="dxa"/>
            <w:vMerge/>
            <w:tcBorders>
              <w:top w:val="nil"/>
              <w:left w:val="single" w:sz="4" w:space="0" w:color="auto"/>
              <w:bottom w:val="single" w:sz="4" w:space="0" w:color="auto"/>
              <w:right w:val="single" w:sz="4" w:space="0" w:color="auto"/>
            </w:tcBorders>
            <w:vAlign w:val="center"/>
            <w:hideMark/>
          </w:tcPr>
          <w:p w14:paraId="6303C33F" w14:textId="77777777" w:rsidR="00C226F9" w:rsidRPr="00AA344F" w:rsidRDefault="00C226F9" w:rsidP="00C226F9">
            <w:pPr>
              <w:spacing w:after="0" w:line="240" w:lineRule="auto"/>
              <w:rPr>
                <w:rFonts w:eastAsia="Times New Roman"/>
                <w:color w:val="000000" w:themeColor="text1"/>
                <w:sz w:val="22"/>
                <w:szCs w:val="22"/>
              </w:rPr>
            </w:pPr>
          </w:p>
        </w:tc>
        <w:tc>
          <w:tcPr>
            <w:tcW w:w="1599" w:type="dxa"/>
            <w:vMerge/>
            <w:tcBorders>
              <w:top w:val="nil"/>
              <w:left w:val="single" w:sz="4" w:space="0" w:color="auto"/>
              <w:bottom w:val="single" w:sz="4" w:space="0" w:color="auto"/>
              <w:right w:val="single" w:sz="4" w:space="0" w:color="auto"/>
            </w:tcBorders>
            <w:vAlign w:val="center"/>
            <w:hideMark/>
          </w:tcPr>
          <w:p w14:paraId="22663C54" w14:textId="77777777" w:rsidR="00C226F9" w:rsidRPr="00AA344F" w:rsidRDefault="00C226F9" w:rsidP="00C226F9">
            <w:pPr>
              <w:spacing w:after="0" w:line="240" w:lineRule="auto"/>
              <w:rPr>
                <w:rFonts w:eastAsia="Times New Roman"/>
                <w:color w:val="000000" w:themeColor="text1"/>
                <w:sz w:val="22"/>
                <w:szCs w:val="22"/>
              </w:rPr>
            </w:pPr>
          </w:p>
        </w:tc>
        <w:tc>
          <w:tcPr>
            <w:tcW w:w="1875" w:type="dxa"/>
            <w:vMerge/>
            <w:tcBorders>
              <w:top w:val="nil"/>
              <w:left w:val="single" w:sz="4" w:space="0" w:color="auto"/>
              <w:bottom w:val="single" w:sz="4" w:space="0" w:color="auto"/>
              <w:right w:val="single" w:sz="4" w:space="0" w:color="auto"/>
            </w:tcBorders>
            <w:vAlign w:val="center"/>
            <w:hideMark/>
          </w:tcPr>
          <w:p w14:paraId="47252055" w14:textId="77777777" w:rsidR="00C226F9" w:rsidRPr="00AA344F" w:rsidRDefault="00C226F9" w:rsidP="00C226F9">
            <w:pPr>
              <w:spacing w:after="0" w:line="240" w:lineRule="auto"/>
              <w:rPr>
                <w:rFonts w:eastAsia="Times New Roman"/>
                <w:color w:val="000000" w:themeColor="text1"/>
                <w:sz w:val="22"/>
                <w:szCs w:val="22"/>
              </w:rPr>
            </w:pPr>
          </w:p>
        </w:tc>
        <w:tc>
          <w:tcPr>
            <w:tcW w:w="2126" w:type="dxa"/>
            <w:vMerge/>
            <w:tcBorders>
              <w:top w:val="nil"/>
              <w:left w:val="single" w:sz="4" w:space="0" w:color="auto"/>
              <w:bottom w:val="single" w:sz="4" w:space="0" w:color="auto"/>
              <w:right w:val="single" w:sz="4" w:space="0" w:color="auto"/>
            </w:tcBorders>
            <w:vAlign w:val="center"/>
            <w:hideMark/>
          </w:tcPr>
          <w:p w14:paraId="76563118" w14:textId="77777777" w:rsidR="00C226F9" w:rsidRPr="00AA344F" w:rsidRDefault="00C226F9" w:rsidP="00C226F9">
            <w:pPr>
              <w:spacing w:after="0" w:line="240" w:lineRule="auto"/>
              <w:rPr>
                <w:rFonts w:eastAsia="Times New Roman"/>
                <w:color w:val="000000" w:themeColor="text1"/>
                <w:sz w:val="22"/>
                <w:szCs w:val="22"/>
              </w:rPr>
            </w:pPr>
          </w:p>
        </w:tc>
        <w:tc>
          <w:tcPr>
            <w:tcW w:w="4462" w:type="dxa"/>
            <w:vMerge/>
            <w:tcBorders>
              <w:top w:val="nil"/>
              <w:left w:val="single" w:sz="4" w:space="0" w:color="auto"/>
              <w:bottom w:val="single" w:sz="4" w:space="0" w:color="auto"/>
              <w:right w:val="single" w:sz="4" w:space="0" w:color="auto"/>
            </w:tcBorders>
            <w:vAlign w:val="center"/>
            <w:hideMark/>
          </w:tcPr>
          <w:p w14:paraId="63A66C37" w14:textId="77777777" w:rsidR="00C226F9" w:rsidRPr="00AA344F" w:rsidRDefault="00C226F9" w:rsidP="00C226F9">
            <w:pPr>
              <w:spacing w:after="0" w:line="240" w:lineRule="auto"/>
              <w:rPr>
                <w:rFonts w:eastAsia="Times New Roman"/>
                <w:color w:val="000000" w:themeColor="text1"/>
                <w:sz w:val="22"/>
                <w:szCs w:val="22"/>
              </w:rPr>
            </w:pPr>
          </w:p>
        </w:tc>
        <w:tc>
          <w:tcPr>
            <w:tcW w:w="4026" w:type="dxa"/>
            <w:tcBorders>
              <w:top w:val="nil"/>
              <w:left w:val="nil"/>
              <w:bottom w:val="single" w:sz="4" w:space="0" w:color="auto"/>
              <w:right w:val="single" w:sz="4" w:space="0" w:color="auto"/>
            </w:tcBorders>
            <w:shd w:val="clear" w:color="auto" w:fill="auto"/>
            <w:vAlign w:val="center"/>
            <w:hideMark/>
          </w:tcPr>
          <w:p w14:paraId="0292559F" w14:textId="173000ED" w:rsidR="00C226F9" w:rsidRPr="00AA344F" w:rsidRDefault="00C226F9" w:rsidP="00C226F9">
            <w:pPr>
              <w:spacing w:after="0" w:line="240" w:lineRule="auto"/>
              <w:jc w:val="center"/>
              <w:rPr>
                <w:rFonts w:eastAsia="Times New Roman"/>
                <w:color w:val="000000" w:themeColor="text1"/>
                <w:sz w:val="22"/>
                <w:szCs w:val="22"/>
              </w:rPr>
            </w:pPr>
            <w:r w:rsidRPr="00AA344F">
              <w:rPr>
                <w:rFonts w:eastAsia="Times New Roman"/>
                <w:color w:val="000000" w:themeColor="text1"/>
                <w:sz w:val="22"/>
                <w:szCs w:val="22"/>
              </w:rPr>
              <w:t>Ở các đối tượng khác, không trộn lẫn calci và ceftriaxon trong cùng 1 đường truyền, dùng 2 thuốc theo 2 đường truyền tại 2 vị trí khác nhau hoặc dùng lần lượt từng thuốc sau đó khi tráng rửa đường truyền bằng dung môi tương hợp.</w:t>
            </w:r>
          </w:p>
        </w:tc>
      </w:tr>
    </w:tbl>
    <w:p w14:paraId="1AF5D832" w14:textId="77777777" w:rsidR="00C870F1" w:rsidRPr="00AA344F" w:rsidRDefault="00C870F1" w:rsidP="00C02562">
      <w:pPr>
        <w:tabs>
          <w:tab w:val="left" w:pos="3087"/>
        </w:tabs>
        <w:spacing w:before="120" w:after="0"/>
        <w:jc w:val="both"/>
        <w:rPr>
          <w:i/>
          <w:color w:val="000000" w:themeColor="text1"/>
          <w:sz w:val="26"/>
          <w:szCs w:val="26"/>
        </w:rPr>
      </w:pPr>
    </w:p>
    <w:p w14:paraId="013E18C6" w14:textId="77777777" w:rsidR="008E2408" w:rsidRPr="00AA344F" w:rsidRDefault="008E2408" w:rsidP="00C02562">
      <w:pPr>
        <w:tabs>
          <w:tab w:val="left" w:pos="3087"/>
        </w:tabs>
        <w:spacing w:before="120" w:after="0"/>
        <w:jc w:val="both"/>
        <w:rPr>
          <w:i/>
          <w:color w:val="000000" w:themeColor="text1"/>
          <w:sz w:val="26"/>
          <w:szCs w:val="26"/>
        </w:rPr>
      </w:pPr>
    </w:p>
    <w:p w14:paraId="464903ED" w14:textId="77777777" w:rsidR="008E2408" w:rsidRPr="00AA344F" w:rsidRDefault="008E2408" w:rsidP="00C02562">
      <w:pPr>
        <w:tabs>
          <w:tab w:val="left" w:pos="3087"/>
        </w:tabs>
        <w:spacing w:before="120" w:after="0"/>
        <w:jc w:val="both"/>
        <w:rPr>
          <w:i/>
          <w:color w:val="000000" w:themeColor="text1"/>
          <w:sz w:val="26"/>
          <w:szCs w:val="26"/>
        </w:rPr>
      </w:pPr>
    </w:p>
    <w:p w14:paraId="7A286413" w14:textId="77777777" w:rsidR="008E2408" w:rsidRPr="00AA344F" w:rsidRDefault="008E2408" w:rsidP="00C02562">
      <w:pPr>
        <w:tabs>
          <w:tab w:val="left" w:pos="3087"/>
        </w:tabs>
        <w:spacing w:before="120" w:after="0"/>
        <w:jc w:val="both"/>
        <w:rPr>
          <w:i/>
          <w:color w:val="000000" w:themeColor="text1"/>
          <w:sz w:val="26"/>
          <w:szCs w:val="26"/>
        </w:rPr>
      </w:pPr>
    </w:p>
    <w:p w14:paraId="351B4616" w14:textId="77777777" w:rsidR="008E2408" w:rsidRPr="00AA344F" w:rsidRDefault="008E2408" w:rsidP="008E2408">
      <w:pPr>
        <w:spacing w:before="120" w:after="0"/>
        <w:jc w:val="both"/>
        <w:rPr>
          <w:i/>
          <w:color w:val="000000" w:themeColor="text1"/>
          <w:sz w:val="26"/>
          <w:szCs w:val="26"/>
          <w:shd w:val="clear" w:color="auto" w:fill="FFFFFF"/>
        </w:rPr>
      </w:pPr>
    </w:p>
    <w:p w14:paraId="1BC26D54" w14:textId="77777777" w:rsidR="00147A35" w:rsidRPr="00AA344F" w:rsidRDefault="00147A35" w:rsidP="008E2408">
      <w:pPr>
        <w:spacing w:before="120" w:after="0"/>
        <w:jc w:val="both"/>
        <w:rPr>
          <w:i/>
          <w:color w:val="000000" w:themeColor="text1"/>
          <w:sz w:val="26"/>
          <w:szCs w:val="26"/>
          <w:shd w:val="clear" w:color="auto" w:fill="FFFFFF"/>
        </w:rPr>
      </w:pPr>
    </w:p>
    <w:p w14:paraId="0CE8E47E" w14:textId="77777777" w:rsidR="00147A35" w:rsidRPr="00AA344F" w:rsidRDefault="00147A35" w:rsidP="008E2408">
      <w:pPr>
        <w:spacing w:before="120" w:after="0"/>
        <w:jc w:val="both"/>
        <w:rPr>
          <w:i/>
          <w:color w:val="000000" w:themeColor="text1"/>
          <w:sz w:val="26"/>
          <w:szCs w:val="26"/>
          <w:shd w:val="clear" w:color="auto" w:fill="FFFFFF"/>
        </w:rPr>
      </w:pPr>
    </w:p>
    <w:p w14:paraId="5D92795B" w14:textId="77777777" w:rsidR="00147A35" w:rsidRPr="00AA344F" w:rsidRDefault="00147A35" w:rsidP="008E2408">
      <w:pPr>
        <w:spacing w:before="120" w:after="0"/>
        <w:jc w:val="both"/>
        <w:rPr>
          <w:i/>
          <w:color w:val="000000" w:themeColor="text1"/>
          <w:sz w:val="26"/>
          <w:szCs w:val="26"/>
          <w:shd w:val="clear" w:color="auto" w:fill="FFFFFF"/>
        </w:rPr>
      </w:pPr>
    </w:p>
    <w:p w14:paraId="3B223005" w14:textId="77777777" w:rsidR="00C226F9" w:rsidRPr="00AA344F" w:rsidRDefault="00C226F9" w:rsidP="008E2408">
      <w:pPr>
        <w:spacing w:before="120" w:after="0"/>
        <w:jc w:val="both"/>
        <w:rPr>
          <w:i/>
          <w:color w:val="000000" w:themeColor="text1"/>
          <w:sz w:val="26"/>
          <w:szCs w:val="26"/>
          <w:shd w:val="clear" w:color="auto" w:fill="FFFFFF"/>
        </w:rPr>
      </w:pPr>
    </w:p>
    <w:p w14:paraId="6B6266A9" w14:textId="77777777" w:rsidR="00DC3FEB" w:rsidRPr="00AA344F" w:rsidRDefault="00DC3FEB" w:rsidP="008E2408">
      <w:pPr>
        <w:tabs>
          <w:tab w:val="left" w:pos="3087"/>
        </w:tabs>
        <w:spacing w:before="120" w:after="0"/>
        <w:rPr>
          <w:i/>
          <w:color w:val="000000" w:themeColor="text1"/>
          <w:sz w:val="26"/>
          <w:szCs w:val="26"/>
        </w:rPr>
      </w:pPr>
    </w:p>
    <w:p w14:paraId="725C8212" w14:textId="77777777" w:rsidR="008E2408" w:rsidRPr="00AA344F" w:rsidRDefault="008E2408" w:rsidP="008E2408">
      <w:pPr>
        <w:tabs>
          <w:tab w:val="left" w:pos="3087"/>
        </w:tabs>
        <w:spacing w:before="120" w:after="0"/>
        <w:rPr>
          <w:i/>
          <w:color w:val="000000" w:themeColor="text1"/>
          <w:sz w:val="26"/>
          <w:szCs w:val="26"/>
        </w:rPr>
      </w:pPr>
      <w:r w:rsidRPr="00AA344F">
        <w:rPr>
          <w:b/>
          <w:bCs/>
          <w:noProof/>
          <w:color w:val="000000" w:themeColor="text1"/>
          <w:sz w:val="26"/>
          <w:szCs w:val="26"/>
        </w:rPr>
        <w:lastRenderedPageBreak/>
        <mc:AlternateContent>
          <mc:Choice Requires="wps">
            <w:drawing>
              <wp:anchor distT="0" distB="0" distL="114300" distR="114300" simplePos="0" relativeHeight="251659264" behindDoc="0" locked="0" layoutInCell="1" allowOverlap="1" wp14:anchorId="2C662694" wp14:editId="2D1074ED">
                <wp:simplePos x="0" y="0"/>
                <wp:positionH relativeFrom="column">
                  <wp:posOffset>-40468</wp:posOffset>
                </wp:positionH>
                <wp:positionV relativeFrom="paragraph">
                  <wp:posOffset>153876</wp:posOffset>
                </wp:positionV>
                <wp:extent cx="9378744" cy="353695"/>
                <wp:effectExtent l="76200" t="57150" r="89535" b="1225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744" cy="353695"/>
                        </a:xfrm>
                        <a:prstGeom prst="rect">
                          <a:avLst/>
                        </a:prstGeom>
                        <a:solidFill>
                          <a:schemeClr val="accent5">
                            <a:lumMod val="60000"/>
                            <a:lumOff val="40000"/>
                          </a:schemeClr>
                        </a:solidFill>
                        <a:ln w="38100">
                          <a:solidFill>
                            <a:schemeClr val="lt1">
                              <a:lumMod val="95000"/>
                              <a:lumOff val="0"/>
                            </a:schemeClr>
                          </a:solidFill>
                          <a:miter lim="800000"/>
                          <a:headEnd/>
                          <a:tailEnd/>
                        </a:ln>
                        <a:effectLst>
                          <a:outerShdw blurRad="63500" dist="29783" dir="3885598" algn="ctr" rotWithShape="0">
                            <a:schemeClr val="accent3">
                              <a:lumMod val="50000"/>
                              <a:lumOff val="0"/>
                              <a:alpha val="50000"/>
                            </a:schemeClr>
                          </a:outerShdw>
                        </a:effectLst>
                      </wps:spPr>
                      <wps:txbx>
                        <w:txbxContent>
                          <w:p w14:paraId="34C402A7" w14:textId="78CEF63E" w:rsidR="00AA344F" w:rsidRPr="00684AD5" w:rsidRDefault="00AA344F" w:rsidP="008E2408">
                            <w:pPr>
                              <w:jc w:val="center"/>
                              <w:rPr>
                                <w:b/>
                                <w:sz w:val="32"/>
                                <w:szCs w:val="32"/>
                              </w:rPr>
                            </w:pPr>
                            <w:r>
                              <w:rPr>
                                <w:b/>
                                <w:sz w:val="32"/>
                                <w:szCs w:val="32"/>
                              </w:rPr>
                              <w:t>HƯỚNG DẪN TIÊM/TRUYỀN MỘT SỐ LOẠI KHÁNG SINH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62694" id="Text Box 1" o:spid="_x0000_s1029" type="#_x0000_t202" style="position:absolute;margin-left:-3.2pt;margin-top:12.1pt;width:738.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" fillcolor="#9bc7ce [1944]" strokecolor="#f2f2f2 [3041]" strokeweight="3pt">
                <v:shadow on="t" color="#143e69 [1606]" opacity=".5" offset="1pt,.74833mm"/>
                <v:textbox>
                  <w:txbxContent>
                    <w:p w14:paraId="34C402A7" w14:textId="78CEF63E" w:rsidR="00AA344F" w:rsidRPr="00684AD5" w:rsidRDefault="00AA344F" w:rsidP="008E2408">
                      <w:pPr>
                        <w:jc w:val="center"/>
                        <w:rPr>
                          <w:b/>
                          <w:sz w:val="32"/>
                          <w:szCs w:val="32"/>
                        </w:rPr>
                      </w:pPr>
                      <w:r>
                        <w:rPr>
                          <w:b/>
                          <w:sz w:val="32"/>
                          <w:szCs w:val="32"/>
                        </w:rPr>
                        <w:t>HƯỚNG DẪN TIÊM/TRUYỀN MỘT SỐ LOẠI KHÁNG SINH</w:t>
                      </w:r>
                    </w:p>
                  </w:txbxContent>
                </v:textbox>
              </v:shape>
            </w:pict>
          </mc:Fallback>
        </mc:AlternateContent>
      </w:r>
    </w:p>
    <w:p w14:paraId="61F6E2B3" w14:textId="77777777" w:rsidR="008E2408" w:rsidRPr="00AA344F" w:rsidRDefault="008E2408" w:rsidP="008E2408">
      <w:pPr>
        <w:tabs>
          <w:tab w:val="left" w:pos="3087"/>
        </w:tabs>
        <w:spacing w:before="120" w:after="0"/>
        <w:jc w:val="both"/>
        <w:rPr>
          <w:i/>
          <w:color w:val="000000" w:themeColor="text1"/>
          <w:sz w:val="26"/>
          <w:szCs w:val="26"/>
        </w:rPr>
      </w:pPr>
    </w:p>
    <w:p w14:paraId="7A94356B" w14:textId="390778A4" w:rsidR="008E2408" w:rsidRPr="00AA344F" w:rsidRDefault="008E2408" w:rsidP="008E2408">
      <w:pPr>
        <w:tabs>
          <w:tab w:val="left" w:pos="3087"/>
        </w:tabs>
        <w:spacing w:before="120" w:after="0"/>
        <w:jc w:val="center"/>
        <w:rPr>
          <w:i/>
          <w:color w:val="000000" w:themeColor="text1"/>
          <w:spacing w:val="-4"/>
          <w:sz w:val="26"/>
          <w:szCs w:val="26"/>
        </w:rPr>
      </w:pPr>
      <w:r w:rsidRPr="00AA344F">
        <w:rPr>
          <w:i/>
          <w:color w:val="000000" w:themeColor="text1"/>
          <w:spacing w:val="-4"/>
          <w:sz w:val="26"/>
          <w:szCs w:val="26"/>
        </w:rPr>
        <w:t xml:space="preserve">(Dựa trên Quyết định số </w:t>
      </w:r>
      <w:r w:rsidR="004C6851" w:rsidRPr="00AA344F">
        <w:rPr>
          <w:i/>
          <w:color w:val="000000" w:themeColor="text1"/>
          <w:spacing w:val="-4"/>
          <w:sz w:val="26"/>
          <w:szCs w:val="26"/>
        </w:rPr>
        <w:t>708/QĐ-BYT ngày 02/3/2015 V</w:t>
      </w:r>
      <w:r w:rsidRPr="00AA344F">
        <w:rPr>
          <w:i/>
          <w:color w:val="000000" w:themeColor="text1"/>
          <w:spacing w:val="-4"/>
          <w:sz w:val="26"/>
          <w:szCs w:val="26"/>
        </w:rPr>
        <w:t xml:space="preserve">ề việc </w:t>
      </w:r>
      <w:r w:rsidR="004C6851" w:rsidRPr="00AA344F">
        <w:rPr>
          <w:i/>
          <w:color w:val="000000" w:themeColor="text1"/>
          <w:spacing w:val="-4"/>
          <w:sz w:val="26"/>
          <w:szCs w:val="26"/>
        </w:rPr>
        <w:t>ban hành tài liệu chuyên môn “Hướng dẫn sử dụng kháng sinh” của Bộ Y tế</w:t>
      </w:r>
      <w:r w:rsidRPr="00AA344F">
        <w:rPr>
          <w:i/>
          <w:color w:val="000000" w:themeColor="text1"/>
          <w:spacing w:val="-4"/>
          <w:sz w:val="26"/>
          <w:szCs w:val="26"/>
        </w:rPr>
        <w:t>)</w:t>
      </w:r>
    </w:p>
    <w:tbl>
      <w:tblPr>
        <w:tblW w:w="14580" w:type="dxa"/>
        <w:tblInd w:w="5" w:type="dxa"/>
        <w:tblCellMar>
          <w:left w:w="0" w:type="dxa"/>
          <w:right w:w="0" w:type="dxa"/>
        </w:tblCellMar>
        <w:tblLook w:val="0000" w:firstRow="0" w:lastRow="0" w:firstColumn="0" w:lastColumn="0" w:noHBand="0" w:noVBand="0"/>
      </w:tblPr>
      <w:tblGrid>
        <w:gridCol w:w="483"/>
        <w:gridCol w:w="1605"/>
        <w:gridCol w:w="1583"/>
        <w:gridCol w:w="1598"/>
        <w:gridCol w:w="982"/>
        <w:gridCol w:w="2209"/>
        <w:gridCol w:w="1440"/>
        <w:gridCol w:w="1360"/>
        <w:gridCol w:w="3320"/>
      </w:tblGrid>
      <w:tr w:rsidR="00AA344F" w:rsidRPr="00AA344F" w14:paraId="160187D2" w14:textId="77777777" w:rsidTr="00DC3FEB">
        <w:trPr>
          <w:trHeight w:val="581"/>
          <w:tblHeader/>
        </w:trPr>
        <w:tc>
          <w:tcPr>
            <w:tcW w:w="483" w:type="dxa"/>
            <w:tcBorders>
              <w:top w:val="single" w:sz="4" w:space="0" w:color="000000"/>
              <w:left w:val="single" w:sz="4" w:space="0" w:color="000000"/>
              <w:bottom w:val="single" w:sz="4" w:space="0" w:color="000000"/>
              <w:right w:val="single" w:sz="4" w:space="0" w:color="000000"/>
            </w:tcBorders>
            <w:vAlign w:val="center"/>
          </w:tcPr>
          <w:p w14:paraId="7C65C791"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TT</w:t>
            </w:r>
          </w:p>
        </w:tc>
        <w:tc>
          <w:tcPr>
            <w:tcW w:w="1605" w:type="dxa"/>
            <w:tcBorders>
              <w:top w:val="single" w:sz="4" w:space="0" w:color="000000"/>
              <w:left w:val="single" w:sz="4" w:space="0" w:color="000000"/>
              <w:bottom w:val="single" w:sz="4" w:space="0" w:color="000000"/>
              <w:right w:val="single" w:sz="4" w:space="0" w:color="000000"/>
            </w:tcBorders>
            <w:vAlign w:val="center"/>
          </w:tcPr>
          <w:p w14:paraId="67A5F34B"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Tên hoạt chất - nồng độ</w:t>
            </w:r>
          </w:p>
        </w:tc>
        <w:tc>
          <w:tcPr>
            <w:tcW w:w="1583" w:type="dxa"/>
            <w:tcBorders>
              <w:top w:val="single" w:sz="4" w:space="0" w:color="000000"/>
              <w:left w:val="single" w:sz="4" w:space="0" w:color="000000"/>
              <w:bottom w:val="single" w:sz="4" w:space="0" w:color="000000"/>
              <w:right w:val="single" w:sz="4" w:space="0" w:color="000000"/>
            </w:tcBorders>
            <w:vAlign w:val="center"/>
          </w:tcPr>
          <w:p w14:paraId="64737A8E"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Tiêm bắp</w:t>
            </w:r>
          </w:p>
        </w:tc>
        <w:tc>
          <w:tcPr>
            <w:tcW w:w="2580" w:type="dxa"/>
            <w:gridSpan w:val="2"/>
            <w:tcBorders>
              <w:top w:val="single" w:sz="4" w:space="0" w:color="000000"/>
              <w:left w:val="single" w:sz="4" w:space="0" w:color="000000"/>
              <w:bottom w:val="single" w:sz="4" w:space="0" w:color="000000"/>
              <w:right w:val="single" w:sz="4" w:space="0" w:color="000000"/>
            </w:tcBorders>
            <w:vAlign w:val="center"/>
          </w:tcPr>
          <w:p w14:paraId="3D319285"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Tiêm tĩnh mạch</w:t>
            </w:r>
          </w:p>
        </w:tc>
        <w:tc>
          <w:tcPr>
            <w:tcW w:w="3649" w:type="dxa"/>
            <w:gridSpan w:val="2"/>
            <w:tcBorders>
              <w:top w:val="single" w:sz="4" w:space="0" w:color="000000"/>
              <w:left w:val="single" w:sz="4" w:space="0" w:color="000000"/>
              <w:bottom w:val="single" w:sz="4" w:space="0" w:color="000000"/>
              <w:right w:val="single" w:sz="4" w:space="0" w:color="000000"/>
            </w:tcBorders>
            <w:vAlign w:val="center"/>
          </w:tcPr>
          <w:p w14:paraId="31CED89A"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Truyền tĩnh mạch</w:t>
            </w:r>
          </w:p>
        </w:tc>
        <w:tc>
          <w:tcPr>
            <w:tcW w:w="1360" w:type="dxa"/>
            <w:tcBorders>
              <w:top w:val="single" w:sz="4" w:space="0" w:color="000000"/>
              <w:left w:val="single" w:sz="4" w:space="0" w:color="000000"/>
              <w:bottom w:val="single" w:sz="4" w:space="0" w:color="000000"/>
              <w:right w:val="single" w:sz="4" w:space="0" w:color="000000"/>
            </w:tcBorders>
            <w:vAlign w:val="center"/>
          </w:tcPr>
          <w:p w14:paraId="67584F14"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Dung môi tương hợp</w:t>
            </w:r>
          </w:p>
        </w:tc>
        <w:tc>
          <w:tcPr>
            <w:tcW w:w="3320" w:type="dxa"/>
            <w:tcBorders>
              <w:top w:val="single" w:sz="4" w:space="0" w:color="000000"/>
              <w:left w:val="single" w:sz="4" w:space="0" w:color="000000"/>
              <w:bottom w:val="single" w:sz="4" w:space="0" w:color="000000"/>
              <w:right w:val="single" w:sz="4" w:space="0" w:color="000000"/>
            </w:tcBorders>
            <w:vAlign w:val="center"/>
          </w:tcPr>
          <w:p w14:paraId="41DEA8E1"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Chú ý</w:t>
            </w:r>
          </w:p>
        </w:tc>
      </w:tr>
      <w:tr w:rsidR="00AA344F" w:rsidRPr="00AA344F" w14:paraId="30D6BB44" w14:textId="77777777" w:rsidTr="00DC3FEB">
        <w:trPr>
          <w:tblHeader/>
        </w:trPr>
        <w:tc>
          <w:tcPr>
            <w:tcW w:w="483" w:type="dxa"/>
            <w:tcBorders>
              <w:top w:val="single" w:sz="4" w:space="0" w:color="000000"/>
              <w:left w:val="single" w:sz="4" w:space="0" w:color="000000"/>
              <w:bottom w:val="single" w:sz="4" w:space="0" w:color="000000"/>
              <w:right w:val="single" w:sz="4" w:space="0" w:color="000000"/>
            </w:tcBorders>
            <w:vAlign w:val="center"/>
          </w:tcPr>
          <w:p w14:paraId="53C45316"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DB45DFE" w14:textId="77777777" w:rsidR="008E2408" w:rsidRPr="00AA344F" w:rsidRDefault="008E2408" w:rsidP="004C6851">
            <w:pPr>
              <w:autoSpaceDE w:val="0"/>
              <w:autoSpaceDN w:val="0"/>
              <w:adjustRightInd w:val="0"/>
              <w:spacing w:after="0" w:line="240" w:lineRule="auto"/>
              <w:rPr>
                <w:color w:val="000000" w:themeColor="text1"/>
                <w:sz w:val="22"/>
                <w:szCs w:val="22"/>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7B869B6F"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p>
        </w:tc>
        <w:tc>
          <w:tcPr>
            <w:tcW w:w="1598" w:type="dxa"/>
            <w:tcBorders>
              <w:top w:val="single" w:sz="4" w:space="0" w:color="000000"/>
              <w:left w:val="single" w:sz="4" w:space="0" w:color="000000"/>
              <w:bottom w:val="single" w:sz="4" w:space="0" w:color="000000"/>
              <w:right w:val="single" w:sz="4" w:space="0" w:color="000000"/>
            </w:tcBorders>
            <w:vAlign w:val="center"/>
          </w:tcPr>
          <w:p w14:paraId="7605DA12"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Cách pha</w:t>
            </w:r>
          </w:p>
        </w:tc>
        <w:tc>
          <w:tcPr>
            <w:tcW w:w="982" w:type="dxa"/>
            <w:tcBorders>
              <w:top w:val="single" w:sz="4" w:space="0" w:color="000000"/>
              <w:left w:val="single" w:sz="4" w:space="0" w:color="000000"/>
              <w:bottom w:val="single" w:sz="4" w:space="0" w:color="000000"/>
              <w:right w:val="single" w:sz="4" w:space="0" w:color="000000"/>
            </w:tcBorders>
            <w:vAlign w:val="center"/>
          </w:tcPr>
          <w:p w14:paraId="598BE258"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Tốc độ</w:t>
            </w:r>
          </w:p>
        </w:tc>
        <w:tc>
          <w:tcPr>
            <w:tcW w:w="2209" w:type="dxa"/>
            <w:tcBorders>
              <w:top w:val="single" w:sz="4" w:space="0" w:color="000000"/>
              <w:left w:val="single" w:sz="4" w:space="0" w:color="000000"/>
              <w:bottom w:val="single" w:sz="4" w:space="0" w:color="000000"/>
              <w:right w:val="single" w:sz="4" w:space="0" w:color="000000"/>
            </w:tcBorders>
            <w:vAlign w:val="center"/>
          </w:tcPr>
          <w:p w14:paraId="667722E8"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Cách pha</w:t>
            </w:r>
          </w:p>
        </w:tc>
        <w:tc>
          <w:tcPr>
            <w:tcW w:w="1440" w:type="dxa"/>
            <w:tcBorders>
              <w:top w:val="single" w:sz="4" w:space="0" w:color="000000"/>
              <w:left w:val="single" w:sz="4" w:space="0" w:color="000000"/>
              <w:bottom w:val="single" w:sz="4" w:space="0" w:color="000000"/>
              <w:right w:val="single" w:sz="4" w:space="0" w:color="000000"/>
            </w:tcBorders>
            <w:vAlign w:val="center"/>
          </w:tcPr>
          <w:p w14:paraId="03830F6D"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b/>
                <w:bCs/>
                <w:color w:val="000000" w:themeColor="text1"/>
                <w:sz w:val="22"/>
                <w:szCs w:val="22"/>
              </w:rPr>
              <w:t>Tốc độ</w:t>
            </w:r>
          </w:p>
        </w:tc>
        <w:tc>
          <w:tcPr>
            <w:tcW w:w="1360" w:type="dxa"/>
            <w:tcBorders>
              <w:top w:val="single" w:sz="4" w:space="0" w:color="000000"/>
              <w:left w:val="single" w:sz="4" w:space="0" w:color="000000"/>
              <w:bottom w:val="single" w:sz="4" w:space="0" w:color="000000"/>
              <w:right w:val="single" w:sz="4" w:space="0" w:color="000000"/>
            </w:tcBorders>
            <w:vAlign w:val="center"/>
          </w:tcPr>
          <w:p w14:paraId="55F386B6"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p>
        </w:tc>
        <w:tc>
          <w:tcPr>
            <w:tcW w:w="3320" w:type="dxa"/>
            <w:tcBorders>
              <w:top w:val="single" w:sz="4" w:space="0" w:color="000000"/>
              <w:left w:val="single" w:sz="4" w:space="0" w:color="000000"/>
              <w:bottom w:val="single" w:sz="4" w:space="0" w:color="000000"/>
              <w:right w:val="single" w:sz="4" w:space="0" w:color="000000"/>
            </w:tcBorders>
            <w:vAlign w:val="center"/>
          </w:tcPr>
          <w:p w14:paraId="7A83E435" w14:textId="77777777" w:rsidR="008E2408" w:rsidRPr="00AA344F" w:rsidRDefault="008E2408" w:rsidP="004C6851">
            <w:pPr>
              <w:autoSpaceDE w:val="0"/>
              <w:autoSpaceDN w:val="0"/>
              <w:adjustRightInd w:val="0"/>
              <w:spacing w:after="0" w:line="240" w:lineRule="auto"/>
              <w:rPr>
                <w:color w:val="000000" w:themeColor="text1"/>
                <w:sz w:val="22"/>
                <w:szCs w:val="22"/>
              </w:rPr>
            </w:pPr>
          </w:p>
        </w:tc>
      </w:tr>
      <w:tr w:rsidR="00AA344F" w:rsidRPr="00AA344F" w14:paraId="63AA45F4"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22C87F7A" w14:textId="1722955B" w:rsidR="008E2408"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w:t>
            </w:r>
          </w:p>
        </w:tc>
        <w:tc>
          <w:tcPr>
            <w:tcW w:w="1605" w:type="dxa"/>
            <w:tcBorders>
              <w:top w:val="single" w:sz="4" w:space="0" w:color="000000"/>
              <w:left w:val="single" w:sz="4" w:space="0" w:color="000000"/>
              <w:bottom w:val="single" w:sz="4" w:space="0" w:color="000000"/>
              <w:right w:val="single" w:sz="4" w:space="0" w:color="000000"/>
            </w:tcBorders>
            <w:vAlign w:val="center"/>
          </w:tcPr>
          <w:p w14:paraId="00CF385A"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Azithromycin bột pha tiêm 500mg</w:t>
            </w:r>
          </w:p>
        </w:tc>
        <w:tc>
          <w:tcPr>
            <w:tcW w:w="1583" w:type="dxa"/>
            <w:tcBorders>
              <w:top w:val="single" w:sz="4" w:space="0" w:color="000000"/>
              <w:left w:val="single" w:sz="4" w:space="0" w:color="000000"/>
              <w:bottom w:val="single" w:sz="4" w:space="0" w:color="000000"/>
              <w:right w:val="single" w:sz="4" w:space="0" w:color="000000"/>
            </w:tcBorders>
            <w:vAlign w:val="center"/>
          </w:tcPr>
          <w:p w14:paraId="28B17DAF"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3C2F63C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0113163C"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5448A442"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trong 4.8ml NCPT, pha loãng: với dung môi tương hợp đến nồng độ 1-2mg/ml</w:t>
            </w:r>
          </w:p>
        </w:tc>
        <w:tc>
          <w:tcPr>
            <w:tcW w:w="1440" w:type="dxa"/>
            <w:tcBorders>
              <w:top w:val="single" w:sz="4" w:space="0" w:color="000000"/>
              <w:left w:val="single" w:sz="4" w:space="0" w:color="000000"/>
              <w:bottom w:val="single" w:sz="4" w:space="0" w:color="000000"/>
              <w:right w:val="single" w:sz="4" w:space="0" w:color="000000"/>
            </w:tcBorders>
            <w:vAlign w:val="center"/>
          </w:tcPr>
          <w:p w14:paraId="01D2551E"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60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7D18165E"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Gluc 5%, Hartmann’s.</w:t>
            </w:r>
          </w:p>
        </w:tc>
        <w:tc>
          <w:tcPr>
            <w:tcW w:w="3320" w:type="dxa"/>
            <w:tcBorders>
              <w:top w:val="single" w:sz="4" w:space="0" w:color="000000"/>
              <w:left w:val="single" w:sz="4" w:space="0" w:color="000000"/>
              <w:bottom w:val="single" w:sz="4" w:space="0" w:color="000000"/>
              <w:right w:val="single" w:sz="4" w:space="0" w:color="000000"/>
            </w:tcBorders>
            <w:vAlign w:val="center"/>
          </w:tcPr>
          <w:p w14:paraId="201F1661"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sau khi pha ổn định 24 giờ ở nhiệt độ phòng (25</w:t>
            </w:r>
            <w:r w:rsidRPr="00AA344F">
              <w:rPr>
                <w:color w:val="000000" w:themeColor="text1"/>
                <w:sz w:val="22"/>
                <w:szCs w:val="22"/>
                <w:vertAlign w:val="superscript"/>
              </w:rPr>
              <w:t>o</w:t>
            </w:r>
            <w:r w:rsidRPr="00AA344F">
              <w:rPr>
                <w:color w:val="000000" w:themeColor="text1"/>
                <w:sz w:val="22"/>
                <w:szCs w:val="22"/>
              </w:rPr>
              <w:t>C) và 7 ngày trong tủ lạnh</w:t>
            </w:r>
          </w:p>
        </w:tc>
      </w:tr>
      <w:tr w:rsidR="00AA344F" w:rsidRPr="00AA344F" w14:paraId="7A8A5355" w14:textId="77777777" w:rsidTr="00DC3FEB">
        <w:trPr>
          <w:trHeight w:val="2066"/>
        </w:trPr>
        <w:tc>
          <w:tcPr>
            <w:tcW w:w="483" w:type="dxa"/>
            <w:tcBorders>
              <w:top w:val="single" w:sz="4" w:space="0" w:color="000000"/>
              <w:left w:val="single" w:sz="4" w:space="0" w:color="000000"/>
              <w:bottom w:val="single" w:sz="4" w:space="0" w:color="000000"/>
              <w:right w:val="single" w:sz="4" w:space="0" w:color="000000"/>
            </w:tcBorders>
            <w:vAlign w:val="center"/>
          </w:tcPr>
          <w:p w14:paraId="164A7CC2" w14:textId="24C87D28" w:rsidR="008E2408"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w:t>
            </w:r>
          </w:p>
        </w:tc>
        <w:tc>
          <w:tcPr>
            <w:tcW w:w="1605" w:type="dxa"/>
            <w:tcBorders>
              <w:top w:val="single" w:sz="4" w:space="0" w:color="000000"/>
              <w:left w:val="single" w:sz="4" w:space="0" w:color="000000"/>
              <w:bottom w:val="single" w:sz="4" w:space="0" w:color="000000"/>
              <w:right w:val="single" w:sz="4" w:space="0" w:color="000000"/>
            </w:tcBorders>
            <w:vAlign w:val="center"/>
          </w:tcPr>
          <w:p w14:paraId="42A0CD28"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Ampicillin bột pha tiêm 125mg,250mg, 500mg,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2DEB5797"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125 mg /1ml; 250 mg/1ml; 500 mg /2ml; 1 g/4ml; 2 g/8 ml NCPT</w:t>
            </w:r>
          </w:p>
        </w:tc>
        <w:tc>
          <w:tcPr>
            <w:tcW w:w="1598" w:type="dxa"/>
            <w:tcBorders>
              <w:top w:val="single" w:sz="4" w:space="0" w:color="000000"/>
              <w:left w:val="single" w:sz="4" w:space="0" w:color="000000"/>
              <w:bottom w:val="single" w:sz="4" w:space="0" w:color="000000"/>
              <w:right w:val="single" w:sz="4" w:space="0" w:color="000000"/>
            </w:tcBorders>
            <w:vAlign w:val="center"/>
          </w:tcPr>
          <w:p w14:paraId="388C107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xml:space="preserve">Hòa tan 125mg, 250mg, 500mg trong 5 mL </w:t>
            </w:r>
          </w:p>
          <w:p w14:paraId="705FE86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xml:space="preserve">NCPT. 1g/7.4ml; 2g/14.8ml </w:t>
            </w:r>
          </w:p>
          <w:p w14:paraId="2A630B49"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NCPT hoặc NaCl 0.9%</w:t>
            </w:r>
          </w:p>
        </w:tc>
        <w:tc>
          <w:tcPr>
            <w:tcW w:w="982" w:type="dxa"/>
            <w:tcBorders>
              <w:top w:val="single" w:sz="4" w:space="0" w:color="000000"/>
              <w:left w:val="single" w:sz="4" w:space="0" w:color="000000"/>
              <w:bottom w:val="single" w:sz="4" w:space="0" w:color="000000"/>
              <w:right w:val="single" w:sz="4" w:space="0" w:color="000000"/>
            </w:tcBorders>
            <w:vAlign w:val="center"/>
          </w:tcPr>
          <w:p w14:paraId="34B4C9F6"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10-15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16B49F10"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500mg/5ml</w:t>
            </w:r>
          </w:p>
          <w:p w14:paraId="2A46E13C"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NCPT, pha loãng: 100ml NaCl 0.9%</w:t>
            </w:r>
          </w:p>
        </w:tc>
        <w:tc>
          <w:tcPr>
            <w:tcW w:w="1440" w:type="dxa"/>
            <w:tcBorders>
              <w:top w:val="single" w:sz="4" w:space="0" w:color="000000"/>
              <w:left w:val="single" w:sz="4" w:space="0" w:color="000000"/>
              <w:bottom w:val="single" w:sz="4" w:space="0" w:color="000000"/>
              <w:right w:val="single" w:sz="4" w:space="0" w:color="000000"/>
            </w:tcBorders>
            <w:vAlign w:val="center"/>
          </w:tcPr>
          <w:p w14:paraId="7C3B8C04"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30-60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137771C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Nên dùng NaCl 0.9% [1]</w:t>
            </w:r>
          </w:p>
        </w:tc>
        <w:tc>
          <w:tcPr>
            <w:tcW w:w="3320" w:type="dxa"/>
            <w:tcBorders>
              <w:top w:val="single" w:sz="4" w:space="0" w:color="000000"/>
              <w:left w:val="single" w:sz="4" w:space="0" w:color="000000"/>
              <w:bottom w:val="single" w:sz="4" w:space="0" w:color="000000"/>
              <w:right w:val="single" w:sz="4" w:space="0" w:color="000000"/>
            </w:tcBorders>
            <w:vAlign w:val="center"/>
          </w:tcPr>
          <w:p w14:paraId="68540680"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đã pha nên sử dụng ngay, có thể bảo quản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208C9CB2"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27ABE73B" w14:textId="3A762ABE" w:rsidR="008E2408"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w:t>
            </w:r>
          </w:p>
        </w:tc>
        <w:tc>
          <w:tcPr>
            <w:tcW w:w="1605" w:type="dxa"/>
            <w:tcBorders>
              <w:top w:val="single" w:sz="4" w:space="0" w:color="000000"/>
              <w:left w:val="single" w:sz="4" w:space="0" w:color="000000"/>
              <w:bottom w:val="single" w:sz="4" w:space="0" w:color="000000"/>
              <w:right w:val="single" w:sz="4" w:space="0" w:color="000000"/>
            </w:tcBorders>
            <w:vAlign w:val="center"/>
          </w:tcPr>
          <w:p w14:paraId="08D285F3"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Ampicillin sulbactam bột pha tiêm 1.5g hoặc 3g</w:t>
            </w:r>
          </w:p>
        </w:tc>
        <w:tc>
          <w:tcPr>
            <w:tcW w:w="1583" w:type="dxa"/>
            <w:tcBorders>
              <w:top w:val="single" w:sz="4" w:space="0" w:color="000000"/>
              <w:left w:val="single" w:sz="4" w:space="0" w:color="000000"/>
              <w:bottom w:val="single" w:sz="4" w:space="0" w:color="000000"/>
              <w:right w:val="single" w:sz="4" w:space="0" w:color="000000"/>
            </w:tcBorders>
            <w:vAlign w:val="center"/>
          </w:tcPr>
          <w:p w14:paraId="0F6961A5"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1.5g/3.2ml NCPT hoặc lidocaine HCl 0.5 hoặc 2%</w:t>
            </w:r>
          </w:p>
        </w:tc>
        <w:tc>
          <w:tcPr>
            <w:tcW w:w="1598" w:type="dxa"/>
            <w:tcBorders>
              <w:top w:val="single" w:sz="4" w:space="0" w:color="000000"/>
              <w:left w:val="single" w:sz="4" w:space="0" w:color="000000"/>
              <w:bottom w:val="single" w:sz="4" w:space="0" w:color="000000"/>
              <w:right w:val="single" w:sz="4" w:space="0" w:color="000000"/>
            </w:tcBorders>
            <w:vAlign w:val="center"/>
          </w:tcPr>
          <w:p w14:paraId="58D3AA6A"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1.5g/3.2ml NCPT</w:t>
            </w:r>
          </w:p>
        </w:tc>
        <w:tc>
          <w:tcPr>
            <w:tcW w:w="982" w:type="dxa"/>
            <w:tcBorders>
              <w:top w:val="single" w:sz="4" w:space="0" w:color="000000"/>
              <w:left w:val="single" w:sz="4" w:space="0" w:color="000000"/>
              <w:bottom w:val="single" w:sz="4" w:space="0" w:color="000000"/>
              <w:right w:val="single" w:sz="4" w:space="0" w:color="000000"/>
            </w:tcBorders>
            <w:vAlign w:val="center"/>
          </w:tcPr>
          <w:p w14:paraId="4B3D9C8B"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10-15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15AB59E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1.5g/3.2 ml NCPT, pha loãng: trong 50-100ml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69A427B0"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59937D0D"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w:t>
            </w:r>
          </w:p>
        </w:tc>
        <w:tc>
          <w:tcPr>
            <w:tcW w:w="3320" w:type="dxa"/>
            <w:tcBorders>
              <w:top w:val="single" w:sz="4" w:space="0" w:color="000000"/>
              <w:left w:val="single" w:sz="4" w:space="0" w:color="000000"/>
              <w:bottom w:val="single" w:sz="4" w:space="0" w:color="000000"/>
              <w:right w:val="single" w:sz="4" w:space="0" w:color="000000"/>
            </w:tcBorders>
            <w:vAlign w:val="center"/>
          </w:tcPr>
          <w:p w14:paraId="5746921E"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Tiêm bắp: ngay trong vòng 1h sau pha, tiêm tĩnh mạch: trong vòng 8h sau pha, pha loãng ngay sau khi hòa tan</w:t>
            </w:r>
          </w:p>
          <w:p w14:paraId="0A314E11" w14:textId="77777777" w:rsidR="00147A35" w:rsidRPr="00AA344F" w:rsidRDefault="00147A35" w:rsidP="004C6851">
            <w:pPr>
              <w:autoSpaceDE w:val="0"/>
              <w:autoSpaceDN w:val="0"/>
              <w:adjustRightInd w:val="0"/>
              <w:spacing w:after="0" w:line="240" w:lineRule="auto"/>
              <w:rPr>
                <w:color w:val="000000" w:themeColor="text1"/>
                <w:sz w:val="22"/>
                <w:szCs w:val="22"/>
              </w:rPr>
            </w:pPr>
          </w:p>
        </w:tc>
      </w:tr>
      <w:tr w:rsidR="00AA344F" w:rsidRPr="00AA344F" w14:paraId="4CA9301D"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D642D2F" w14:textId="6252923D" w:rsidR="008E2408"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4</w:t>
            </w:r>
          </w:p>
        </w:tc>
        <w:tc>
          <w:tcPr>
            <w:tcW w:w="1605" w:type="dxa"/>
            <w:tcBorders>
              <w:top w:val="single" w:sz="4" w:space="0" w:color="000000"/>
              <w:left w:val="single" w:sz="4" w:space="0" w:color="000000"/>
              <w:bottom w:val="single" w:sz="4" w:space="0" w:color="000000"/>
              <w:right w:val="single" w:sz="4" w:space="0" w:color="000000"/>
            </w:tcBorders>
            <w:vAlign w:val="center"/>
          </w:tcPr>
          <w:p w14:paraId="172639B8"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Amoxicillin bột pha tiêm 250mg, 500mg, 1g</w:t>
            </w:r>
          </w:p>
        </w:tc>
        <w:tc>
          <w:tcPr>
            <w:tcW w:w="1583" w:type="dxa"/>
            <w:tcBorders>
              <w:top w:val="single" w:sz="4" w:space="0" w:color="000000"/>
              <w:left w:val="single" w:sz="4" w:space="0" w:color="000000"/>
              <w:bottom w:val="single" w:sz="4" w:space="0" w:color="000000"/>
              <w:right w:val="single" w:sz="4" w:space="0" w:color="000000"/>
            </w:tcBorders>
            <w:vAlign w:val="center"/>
          </w:tcPr>
          <w:p w14:paraId="308112EC"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500 mg/2.5 mL; 1 g/4ml NCPT;</w:t>
            </w:r>
          </w:p>
        </w:tc>
        <w:tc>
          <w:tcPr>
            <w:tcW w:w="1598" w:type="dxa"/>
            <w:tcBorders>
              <w:top w:val="single" w:sz="4" w:space="0" w:color="000000"/>
              <w:left w:val="single" w:sz="4" w:space="0" w:color="000000"/>
              <w:bottom w:val="single" w:sz="4" w:space="0" w:color="000000"/>
              <w:right w:val="single" w:sz="4" w:space="0" w:color="000000"/>
            </w:tcBorders>
            <w:vAlign w:val="center"/>
          </w:tcPr>
          <w:p w14:paraId="62BFC1B9"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250mg/5ml</w:t>
            </w:r>
          </w:p>
        </w:tc>
        <w:tc>
          <w:tcPr>
            <w:tcW w:w="982" w:type="dxa"/>
            <w:tcBorders>
              <w:top w:val="single" w:sz="4" w:space="0" w:color="000000"/>
              <w:left w:val="single" w:sz="4" w:space="0" w:color="000000"/>
              <w:bottom w:val="single" w:sz="4" w:space="0" w:color="000000"/>
              <w:right w:val="single" w:sz="4" w:space="0" w:color="000000"/>
            </w:tcBorders>
            <w:vAlign w:val="center"/>
          </w:tcPr>
          <w:p w14:paraId="7177B5D0"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3-4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1886E413"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250mg/5ml NCPT pha loãng: 50-100ml NaCl 0.9%</w:t>
            </w:r>
          </w:p>
        </w:tc>
        <w:tc>
          <w:tcPr>
            <w:tcW w:w="1440" w:type="dxa"/>
            <w:tcBorders>
              <w:top w:val="single" w:sz="4" w:space="0" w:color="000000"/>
              <w:left w:val="single" w:sz="4" w:space="0" w:color="000000"/>
              <w:bottom w:val="single" w:sz="4" w:space="0" w:color="000000"/>
              <w:right w:val="single" w:sz="4" w:space="0" w:color="000000"/>
            </w:tcBorders>
            <w:vAlign w:val="center"/>
          </w:tcPr>
          <w:p w14:paraId="09E87BF5"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30-60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36E80B52" w14:textId="77777777" w:rsidR="008E2408" w:rsidRPr="00AA344F" w:rsidRDefault="008E2408"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w:t>
            </w:r>
          </w:p>
        </w:tc>
        <w:tc>
          <w:tcPr>
            <w:tcW w:w="3320" w:type="dxa"/>
            <w:tcBorders>
              <w:top w:val="single" w:sz="4" w:space="0" w:color="000000"/>
              <w:left w:val="single" w:sz="4" w:space="0" w:color="000000"/>
              <w:bottom w:val="single" w:sz="4" w:space="0" w:color="000000"/>
              <w:right w:val="single" w:sz="4" w:space="0" w:color="000000"/>
            </w:tcBorders>
            <w:vAlign w:val="center"/>
          </w:tcPr>
          <w:p w14:paraId="1A05DDB7" w14:textId="77777777" w:rsidR="008E2408" w:rsidRPr="00AA344F" w:rsidRDefault="008E2408"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Lắc mạnh khi hòa tan, dùng ngay sau khi pha, có thể bảo quản ở 2-8</w:t>
            </w:r>
            <w:r w:rsidRPr="00AA344F">
              <w:rPr>
                <w:color w:val="000000" w:themeColor="text1"/>
                <w:sz w:val="22"/>
                <w:szCs w:val="22"/>
                <w:vertAlign w:val="superscript"/>
              </w:rPr>
              <w:t>o</w:t>
            </w:r>
            <w:r w:rsidRPr="00AA344F">
              <w:rPr>
                <w:color w:val="000000" w:themeColor="text1"/>
                <w:sz w:val="22"/>
                <w:szCs w:val="22"/>
              </w:rPr>
              <w:t>C trong 24h [2]</w:t>
            </w:r>
          </w:p>
          <w:p w14:paraId="7F070DCB"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781E8ECF" w14:textId="77777777" w:rsidTr="00DC3FEB">
        <w:trPr>
          <w:trHeight w:val="1103"/>
        </w:trPr>
        <w:tc>
          <w:tcPr>
            <w:tcW w:w="483" w:type="dxa"/>
            <w:tcBorders>
              <w:top w:val="single" w:sz="4" w:space="0" w:color="000000"/>
              <w:left w:val="single" w:sz="4" w:space="0" w:color="000000"/>
              <w:bottom w:val="single" w:sz="4" w:space="0" w:color="000000"/>
              <w:right w:val="single" w:sz="4" w:space="0" w:color="000000"/>
            </w:tcBorders>
            <w:vAlign w:val="center"/>
          </w:tcPr>
          <w:p w14:paraId="11A79CAF" w14:textId="14C1187D"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5</w:t>
            </w:r>
          </w:p>
        </w:tc>
        <w:tc>
          <w:tcPr>
            <w:tcW w:w="1605" w:type="dxa"/>
            <w:tcBorders>
              <w:top w:val="single" w:sz="4" w:space="0" w:color="000000"/>
              <w:left w:val="single" w:sz="4" w:space="0" w:color="000000"/>
              <w:bottom w:val="single" w:sz="4" w:space="0" w:color="000000"/>
              <w:right w:val="single" w:sz="4" w:space="0" w:color="000000"/>
            </w:tcBorders>
            <w:vAlign w:val="center"/>
          </w:tcPr>
          <w:p w14:paraId="7A9C7BE5"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Amoxicillin clavulanate bột pha tiêm 600mg, hoặc 1.2g</w:t>
            </w:r>
          </w:p>
          <w:p w14:paraId="66329860" w14:textId="77777777" w:rsidR="004C6851" w:rsidRPr="00AA344F" w:rsidRDefault="004C6851" w:rsidP="004C6851">
            <w:pPr>
              <w:autoSpaceDE w:val="0"/>
              <w:autoSpaceDN w:val="0"/>
              <w:adjustRightInd w:val="0"/>
              <w:spacing w:after="0" w:line="240" w:lineRule="auto"/>
              <w:rPr>
                <w:color w:val="000000" w:themeColor="text1"/>
                <w:sz w:val="22"/>
                <w:szCs w:val="22"/>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3E0C7A8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7FC6981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600mg/10 ml; 1.2g/20 ml NCPT.</w:t>
            </w:r>
          </w:p>
        </w:tc>
        <w:tc>
          <w:tcPr>
            <w:tcW w:w="982" w:type="dxa"/>
            <w:tcBorders>
              <w:top w:val="single" w:sz="4" w:space="0" w:color="000000"/>
              <w:left w:val="single" w:sz="4" w:space="0" w:color="000000"/>
              <w:bottom w:val="single" w:sz="4" w:space="0" w:color="000000"/>
              <w:right w:val="single" w:sz="4" w:space="0" w:color="000000"/>
            </w:tcBorders>
            <w:vAlign w:val="center"/>
          </w:tcPr>
          <w:p w14:paraId="00C48F0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3-4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0FAFEB1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600mg/50ml NCPT hoặc NaCl 0.9%</w:t>
            </w:r>
          </w:p>
        </w:tc>
        <w:tc>
          <w:tcPr>
            <w:tcW w:w="1440" w:type="dxa"/>
            <w:tcBorders>
              <w:top w:val="single" w:sz="4" w:space="0" w:color="000000"/>
              <w:left w:val="single" w:sz="4" w:space="0" w:color="000000"/>
              <w:bottom w:val="single" w:sz="4" w:space="0" w:color="000000"/>
              <w:right w:val="single" w:sz="4" w:space="0" w:color="000000"/>
            </w:tcBorders>
            <w:vAlign w:val="center"/>
          </w:tcPr>
          <w:p w14:paraId="6AD9B7C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30-40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3D6B3E85"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w:t>
            </w:r>
          </w:p>
        </w:tc>
        <w:tc>
          <w:tcPr>
            <w:tcW w:w="3320" w:type="dxa"/>
            <w:tcBorders>
              <w:top w:val="single" w:sz="4" w:space="0" w:color="000000"/>
              <w:left w:val="single" w:sz="4" w:space="0" w:color="000000"/>
              <w:bottom w:val="single" w:sz="4" w:space="0" w:color="000000"/>
              <w:right w:val="single" w:sz="4" w:space="0" w:color="000000"/>
            </w:tcBorders>
            <w:vAlign w:val="center"/>
          </w:tcPr>
          <w:p w14:paraId="564A36A0"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Nên truyền trong vòng 3-4h sau khi pha loãng ở 25</w:t>
            </w:r>
            <w:r w:rsidRPr="00AA344F">
              <w:rPr>
                <w:color w:val="000000" w:themeColor="text1"/>
                <w:sz w:val="22"/>
                <w:szCs w:val="22"/>
                <w:vertAlign w:val="superscript"/>
              </w:rPr>
              <w:t>o</w:t>
            </w:r>
            <w:r w:rsidRPr="00AA344F">
              <w:rPr>
                <w:color w:val="000000" w:themeColor="text1"/>
                <w:sz w:val="22"/>
                <w:szCs w:val="22"/>
              </w:rPr>
              <w:t>C, bảo quản được ở 5</w:t>
            </w:r>
            <w:r w:rsidRPr="00AA344F">
              <w:rPr>
                <w:color w:val="000000" w:themeColor="text1"/>
                <w:sz w:val="22"/>
                <w:szCs w:val="22"/>
                <w:vertAlign w:val="superscript"/>
              </w:rPr>
              <w:t>o</w:t>
            </w:r>
            <w:r w:rsidRPr="00AA344F">
              <w:rPr>
                <w:color w:val="000000" w:themeColor="text1"/>
                <w:sz w:val="22"/>
                <w:szCs w:val="22"/>
              </w:rPr>
              <w:t>C trong 8h</w:t>
            </w:r>
          </w:p>
        </w:tc>
      </w:tr>
      <w:tr w:rsidR="00AA344F" w:rsidRPr="00AA344F" w14:paraId="17F18237" w14:textId="77777777" w:rsidTr="00DC3FEB">
        <w:trPr>
          <w:trHeight w:val="1111"/>
        </w:trPr>
        <w:tc>
          <w:tcPr>
            <w:tcW w:w="483" w:type="dxa"/>
            <w:tcBorders>
              <w:top w:val="single" w:sz="4" w:space="0" w:color="000000"/>
              <w:left w:val="single" w:sz="4" w:space="0" w:color="000000"/>
              <w:bottom w:val="single" w:sz="4" w:space="0" w:color="000000"/>
              <w:right w:val="single" w:sz="4" w:space="0" w:color="000000"/>
            </w:tcBorders>
            <w:vAlign w:val="center"/>
          </w:tcPr>
          <w:p w14:paraId="4759909D" w14:textId="4ED51D38"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lastRenderedPageBreak/>
              <w:t>6</w:t>
            </w:r>
          </w:p>
        </w:tc>
        <w:tc>
          <w:tcPr>
            <w:tcW w:w="1605" w:type="dxa"/>
            <w:tcBorders>
              <w:top w:val="single" w:sz="4" w:space="0" w:color="000000"/>
              <w:left w:val="single" w:sz="4" w:space="0" w:color="000000"/>
              <w:bottom w:val="single" w:sz="4" w:space="0" w:color="000000"/>
              <w:right w:val="single" w:sz="4" w:space="0" w:color="000000"/>
            </w:tcBorders>
            <w:vAlign w:val="center"/>
          </w:tcPr>
          <w:p w14:paraId="520DA2C9"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Amikacin ống dung dịch tiêm 50-250mg/ml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702AEB5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w:t>
            </w:r>
          </w:p>
        </w:tc>
        <w:tc>
          <w:tcPr>
            <w:tcW w:w="1598" w:type="dxa"/>
            <w:tcBorders>
              <w:top w:val="single" w:sz="4" w:space="0" w:color="000000"/>
              <w:left w:val="single" w:sz="4" w:space="0" w:color="000000"/>
              <w:bottom w:val="single" w:sz="4" w:space="0" w:color="000000"/>
              <w:right w:val="single" w:sz="4" w:space="0" w:color="000000"/>
            </w:tcBorders>
            <w:vAlign w:val="center"/>
          </w:tcPr>
          <w:p w14:paraId="3994094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w:t>
            </w:r>
          </w:p>
        </w:tc>
        <w:tc>
          <w:tcPr>
            <w:tcW w:w="982" w:type="dxa"/>
            <w:tcBorders>
              <w:top w:val="single" w:sz="4" w:space="0" w:color="000000"/>
              <w:left w:val="single" w:sz="4" w:space="0" w:color="000000"/>
              <w:bottom w:val="single" w:sz="4" w:space="0" w:color="000000"/>
              <w:right w:val="single" w:sz="4" w:space="0" w:color="000000"/>
            </w:tcBorders>
            <w:vAlign w:val="center"/>
          </w:tcPr>
          <w:p w14:paraId="7F35C9E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2-3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4D908C12" w14:textId="79C75035"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chứa 500mg/100ml - 200ml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3D5A7BD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30-60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534E814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Ringer hoặc Ringer lactated</w:t>
            </w:r>
          </w:p>
        </w:tc>
        <w:tc>
          <w:tcPr>
            <w:tcW w:w="3320" w:type="dxa"/>
            <w:tcBorders>
              <w:top w:val="single" w:sz="4" w:space="0" w:color="000000"/>
              <w:left w:val="single" w:sz="4" w:space="0" w:color="000000"/>
              <w:bottom w:val="single" w:sz="4" w:space="0" w:color="000000"/>
              <w:right w:val="single" w:sz="4" w:space="0" w:color="000000"/>
            </w:tcBorders>
            <w:vAlign w:val="center"/>
          </w:tcPr>
          <w:p w14:paraId="05C2A99C"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Bảo quản được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6E955729"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7364314" w14:textId="6E5CEBE0"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7</w:t>
            </w:r>
          </w:p>
        </w:tc>
        <w:tc>
          <w:tcPr>
            <w:tcW w:w="1605" w:type="dxa"/>
            <w:tcBorders>
              <w:top w:val="single" w:sz="4" w:space="0" w:color="000000"/>
              <w:left w:val="single" w:sz="4" w:space="0" w:color="000000"/>
              <w:bottom w:val="single" w:sz="4" w:space="0" w:color="000000"/>
              <w:right w:val="single" w:sz="4" w:space="0" w:color="000000"/>
            </w:tcBorders>
            <w:vAlign w:val="center"/>
          </w:tcPr>
          <w:p w14:paraId="07B84204"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Clarithromycin lọ bột pha tiêm 500mg</w:t>
            </w:r>
          </w:p>
        </w:tc>
        <w:tc>
          <w:tcPr>
            <w:tcW w:w="1583" w:type="dxa"/>
            <w:tcBorders>
              <w:top w:val="single" w:sz="4" w:space="0" w:color="000000"/>
              <w:left w:val="single" w:sz="4" w:space="0" w:color="000000"/>
              <w:bottom w:val="single" w:sz="4" w:space="0" w:color="000000"/>
              <w:right w:val="single" w:sz="4" w:space="0" w:color="000000"/>
            </w:tcBorders>
            <w:vAlign w:val="center"/>
          </w:tcPr>
          <w:p w14:paraId="42C94E9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3FD81CF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60DB2496"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521782E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10ml NCPT pha loãng: 250ml NaCl 0.9% (hoặc dung môi tương hợp đến nồng độ 2mg/ml) [2]</w:t>
            </w:r>
          </w:p>
        </w:tc>
        <w:tc>
          <w:tcPr>
            <w:tcW w:w="1440" w:type="dxa"/>
            <w:tcBorders>
              <w:top w:val="single" w:sz="4" w:space="0" w:color="000000"/>
              <w:left w:val="single" w:sz="4" w:space="0" w:color="000000"/>
              <w:bottom w:val="single" w:sz="4" w:space="0" w:color="000000"/>
              <w:right w:val="single" w:sz="4" w:space="0" w:color="000000"/>
            </w:tcBorders>
            <w:vAlign w:val="center"/>
          </w:tcPr>
          <w:p w14:paraId="6B06C8A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60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7E4C0FC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 5%, NaCl- Glu, Ringer, lactate</w:t>
            </w:r>
          </w:p>
        </w:tc>
        <w:tc>
          <w:tcPr>
            <w:tcW w:w="3320" w:type="dxa"/>
            <w:tcBorders>
              <w:top w:val="single" w:sz="4" w:space="0" w:color="000000"/>
              <w:left w:val="single" w:sz="4" w:space="0" w:color="000000"/>
              <w:bottom w:val="single" w:sz="4" w:space="0" w:color="000000"/>
              <w:right w:val="single" w:sz="4" w:space="0" w:color="000000"/>
            </w:tcBorders>
            <w:vAlign w:val="center"/>
          </w:tcPr>
          <w:p w14:paraId="09D568FC"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Sử dụng ngay sau khi mở hoặc pha loãng; Dung dịch truyền, sau pha loãng (2mg/ml), nên sử dụng trong vòng 6 giờ bảo quản ở nhiệt độ phòng (25</w:t>
            </w:r>
            <w:r w:rsidRPr="00AA344F">
              <w:rPr>
                <w:color w:val="000000" w:themeColor="text1"/>
                <w:sz w:val="22"/>
                <w:szCs w:val="22"/>
                <w:vertAlign w:val="superscript"/>
              </w:rPr>
              <w:t>o</w:t>
            </w:r>
            <w:r w:rsidRPr="00AA344F">
              <w:rPr>
                <w:color w:val="000000" w:themeColor="text1"/>
                <w:sz w:val="22"/>
                <w:szCs w:val="22"/>
              </w:rPr>
              <w:t>C) hoặc 24- 48 giờ nếu bảo quản dưới 5</w:t>
            </w:r>
            <w:r w:rsidRPr="00AA344F">
              <w:rPr>
                <w:color w:val="000000" w:themeColor="text1"/>
                <w:sz w:val="22"/>
                <w:szCs w:val="22"/>
                <w:vertAlign w:val="superscript"/>
              </w:rPr>
              <w:t>o</w:t>
            </w:r>
            <w:r w:rsidRPr="00AA344F">
              <w:rPr>
                <w:color w:val="000000" w:themeColor="text1"/>
                <w:sz w:val="22"/>
                <w:szCs w:val="22"/>
              </w:rPr>
              <w:t>C [1]</w:t>
            </w:r>
          </w:p>
          <w:p w14:paraId="4706E53E"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4ABC65B9"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723D9F5A" w14:textId="7DD1DC7E"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8</w:t>
            </w:r>
          </w:p>
        </w:tc>
        <w:tc>
          <w:tcPr>
            <w:tcW w:w="1605" w:type="dxa"/>
            <w:tcBorders>
              <w:top w:val="single" w:sz="4" w:space="0" w:color="000000"/>
              <w:left w:val="single" w:sz="4" w:space="0" w:color="000000"/>
              <w:bottom w:val="single" w:sz="4" w:space="0" w:color="000000"/>
              <w:right w:val="single" w:sz="4" w:space="0" w:color="000000"/>
            </w:tcBorders>
            <w:vAlign w:val="center"/>
          </w:tcPr>
          <w:p w14:paraId="4117296B"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Ciprofloxacin chai truyền pha sẵn 2mg/ml hoặc ống dung dịch 10mg/ml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309CD31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0B5B4F2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48F7982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5D94F0F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trong dung môi tương hợp đến 1mg-2mg/ml</w:t>
            </w:r>
          </w:p>
        </w:tc>
        <w:tc>
          <w:tcPr>
            <w:tcW w:w="1440" w:type="dxa"/>
            <w:tcBorders>
              <w:top w:val="single" w:sz="4" w:space="0" w:color="000000"/>
              <w:left w:val="single" w:sz="4" w:space="0" w:color="000000"/>
              <w:bottom w:val="single" w:sz="4" w:space="0" w:color="000000"/>
              <w:right w:val="single" w:sz="4" w:space="0" w:color="000000"/>
            </w:tcBorders>
            <w:vAlign w:val="center"/>
          </w:tcPr>
          <w:p w14:paraId="35ED745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60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71963A46"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Ringer's,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2B468080"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Dùng ngay sau khi mở, nếu dùng không hết phải bỏ đi</w:t>
            </w:r>
          </w:p>
        </w:tc>
      </w:tr>
      <w:tr w:rsidR="00AA344F" w:rsidRPr="00AA344F" w14:paraId="5F5F2AAE"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38973F07" w14:textId="7704D22B"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9</w:t>
            </w:r>
          </w:p>
        </w:tc>
        <w:tc>
          <w:tcPr>
            <w:tcW w:w="1605" w:type="dxa"/>
            <w:tcBorders>
              <w:top w:val="single" w:sz="4" w:space="0" w:color="000000"/>
              <w:left w:val="single" w:sz="4" w:space="0" w:color="000000"/>
              <w:bottom w:val="single" w:sz="4" w:space="0" w:color="000000"/>
              <w:right w:val="single" w:sz="4" w:space="0" w:color="000000"/>
            </w:tcBorders>
            <w:vAlign w:val="center"/>
          </w:tcPr>
          <w:p w14:paraId="1D59BAB3"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Chloramphenicol 1g bột pha tiêm</w:t>
            </w:r>
          </w:p>
        </w:tc>
        <w:tc>
          <w:tcPr>
            <w:tcW w:w="1583" w:type="dxa"/>
            <w:tcBorders>
              <w:top w:val="single" w:sz="4" w:space="0" w:color="000000"/>
              <w:left w:val="single" w:sz="4" w:space="0" w:color="000000"/>
              <w:bottom w:val="single" w:sz="4" w:space="0" w:color="000000"/>
              <w:right w:val="single" w:sz="4" w:space="0" w:color="000000"/>
            </w:tcBorders>
            <w:vAlign w:val="center"/>
          </w:tcPr>
          <w:p w14:paraId="165C1FA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6735F23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trong 10ml NCPT hoặc Glu 5%</w:t>
            </w:r>
          </w:p>
        </w:tc>
        <w:tc>
          <w:tcPr>
            <w:tcW w:w="982" w:type="dxa"/>
            <w:tcBorders>
              <w:top w:val="single" w:sz="4" w:space="0" w:color="000000"/>
              <w:left w:val="single" w:sz="4" w:space="0" w:color="000000"/>
              <w:bottom w:val="single" w:sz="4" w:space="0" w:color="000000"/>
              <w:right w:val="single" w:sz="4" w:space="0" w:color="000000"/>
            </w:tcBorders>
            <w:vAlign w:val="center"/>
          </w:tcPr>
          <w:p w14:paraId="1B9B52C6"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30C3416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9.2ml NCPT, NaCl 0.9%, Glu 5% Pha loãng: 100ml NaCl 0.9% [2]</w:t>
            </w:r>
          </w:p>
        </w:tc>
        <w:tc>
          <w:tcPr>
            <w:tcW w:w="1440" w:type="dxa"/>
            <w:tcBorders>
              <w:top w:val="single" w:sz="4" w:space="0" w:color="000000"/>
              <w:left w:val="single" w:sz="4" w:space="0" w:color="000000"/>
              <w:bottom w:val="single" w:sz="4" w:space="0" w:color="000000"/>
              <w:right w:val="single" w:sz="4" w:space="0" w:color="000000"/>
            </w:tcBorders>
            <w:vAlign w:val="center"/>
          </w:tcPr>
          <w:p w14:paraId="4DB0231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793E348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Ringer's,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62728B84"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pha truyền có thể bảo quản ở nhiệt độ phòng trong 24h [2]</w:t>
            </w:r>
          </w:p>
        </w:tc>
      </w:tr>
      <w:tr w:rsidR="00AA344F" w:rsidRPr="00AA344F" w14:paraId="12CA53E9" w14:textId="77777777" w:rsidTr="00DC3FEB">
        <w:trPr>
          <w:trHeight w:val="1285"/>
        </w:trPr>
        <w:tc>
          <w:tcPr>
            <w:tcW w:w="483" w:type="dxa"/>
            <w:tcBorders>
              <w:top w:val="single" w:sz="4" w:space="0" w:color="000000"/>
              <w:left w:val="single" w:sz="4" w:space="0" w:color="000000"/>
              <w:bottom w:val="single" w:sz="4" w:space="0" w:color="000000"/>
              <w:right w:val="single" w:sz="4" w:space="0" w:color="000000"/>
            </w:tcBorders>
            <w:vAlign w:val="center"/>
          </w:tcPr>
          <w:p w14:paraId="60F54C58" w14:textId="0EFFBA54"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10</w:t>
            </w:r>
          </w:p>
        </w:tc>
        <w:tc>
          <w:tcPr>
            <w:tcW w:w="1605" w:type="dxa"/>
            <w:tcBorders>
              <w:top w:val="single" w:sz="4" w:space="0" w:color="000000"/>
              <w:left w:val="single" w:sz="4" w:space="0" w:color="000000"/>
              <w:bottom w:val="single" w:sz="4" w:space="0" w:color="000000"/>
              <w:right w:val="single" w:sz="4" w:space="0" w:color="000000"/>
            </w:tcBorders>
            <w:vAlign w:val="center"/>
          </w:tcPr>
          <w:p w14:paraId="3D7EC4D4"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Cefuroxime bột pha tiêm 250mg, 750mg, 1.5g</w:t>
            </w:r>
          </w:p>
        </w:tc>
        <w:tc>
          <w:tcPr>
            <w:tcW w:w="1583" w:type="dxa"/>
            <w:tcBorders>
              <w:top w:val="single" w:sz="4" w:space="0" w:color="000000"/>
              <w:left w:val="single" w:sz="4" w:space="0" w:color="000000"/>
              <w:bottom w:val="single" w:sz="4" w:space="0" w:color="000000"/>
              <w:right w:val="single" w:sz="4" w:space="0" w:color="000000"/>
            </w:tcBorders>
            <w:vAlign w:val="center"/>
          </w:tcPr>
          <w:p w14:paraId="4351D255"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Liều ≤ 750mg pha với 3ml NCPT (hỗn dịch) [2]</w:t>
            </w:r>
          </w:p>
        </w:tc>
        <w:tc>
          <w:tcPr>
            <w:tcW w:w="1598" w:type="dxa"/>
            <w:tcBorders>
              <w:top w:val="single" w:sz="4" w:space="0" w:color="000000"/>
              <w:left w:val="single" w:sz="4" w:space="0" w:color="000000"/>
              <w:bottom w:val="single" w:sz="4" w:space="0" w:color="000000"/>
              <w:right w:val="single" w:sz="4" w:space="0" w:color="000000"/>
            </w:tcBorders>
            <w:vAlign w:val="center"/>
          </w:tcPr>
          <w:p w14:paraId="34FECE23" w14:textId="77777777" w:rsidR="004C6851" w:rsidRPr="00AA344F" w:rsidRDefault="004C6851" w:rsidP="004C6851">
            <w:pPr>
              <w:autoSpaceDE w:val="0"/>
              <w:autoSpaceDN w:val="0"/>
              <w:adjustRightInd w:val="0"/>
              <w:spacing w:after="0" w:line="240" w:lineRule="auto"/>
              <w:jc w:val="center"/>
              <w:rPr>
                <w:color w:val="000000" w:themeColor="text1"/>
                <w:sz w:val="22"/>
                <w:szCs w:val="22"/>
                <w:lang w:val="fr-FR"/>
              </w:rPr>
            </w:pPr>
            <w:r w:rsidRPr="00AA344F">
              <w:rPr>
                <w:color w:val="000000" w:themeColor="text1"/>
                <w:sz w:val="22"/>
                <w:szCs w:val="22"/>
              </w:rPr>
              <w:t xml:space="preserve">Hòa tan 750mg/ 6 đến 10ml NCPT </w:t>
            </w:r>
            <w:r w:rsidRPr="00AA344F">
              <w:rPr>
                <w:color w:val="000000" w:themeColor="text1"/>
                <w:sz w:val="22"/>
                <w:szCs w:val="22"/>
                <w:lang w:val="fr-FR"/>
              </w:rPr>
              <w:t>[</w:t>
            </w:r>
            <w:r w:rsidRPr="00AA344F">
              <w:rPr>
                <w:color w:val="000000" w:themeColor="text1"/>
                <w:sz w:val="22"/>
                <w:szCs w:val="22"/>
              </w:rPr>
              <w:t>2</w:t>
            </w:r>
            <w:r w:rsidRPr="00AA344F">
              <w:rPr>
                <w:color w:val="000000" w:themeColor="text1"/>
                <w:sz w:val="22"/>
                <w:szCs w:val="22"/>
                <w:lang w:val="fr-FR"/>
              </w:rPr>
              <w:t>]</w:t>
            </w:r>
          </w:p>
        </w:tc>
        <w:tc>
          <w:tcPr>
            <w:tcW w:w="982" w:type="dxa"/>
            <w:tcBorders>
              <w:top w:val="single" w:sz="4" w:space="0" w:color="000000"/>
              <w:left w:val="single" w:sz="4" w:space="0" w:color="000000"/>
              <w:bottom w:val="single" w:sz="4" w:space="0" w:color="000000"/>
              <w:right w:val="single" w:sz="4" w:space="0" w:color="000000"/>
            </w:tcBorders>
            <w:vAlign w:val="center"/>
          </w:tcPr>
          <w:p w14:paraId="2E36E49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0AEC4076"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750mg/6 đến 10ml NCPT Pha loãng: 50-100ml NaCl 0.9% [2]</w:t>
            </w:r>
          </w:p>
        </w:tc>
        <w:tc>
          <w:tcPr>
            <w:tcW w:w="1440" w:type="dxa"/>
            <w:tcBorders>
              <w:top w:val="single" w:sz="4" w:space="0" w:color="000000"/>
              <w:left w:val="single" w:sz="4" w:space="0" w:color="000000"/>
              <w:bottom w:val="single" w:sz="4" w:space="0" w:color="000000"/>
              <w:right w:val="single" w:sz="4" w:space="0" w:color="000000"/>
            </w:tcBorders>
            <w:vAlign w:val="center"/>
          </w:tcPr>
          <w:p w14:paraId="2471ACE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15-60 phút [1] ≥ 30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38032968"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Ringer's, NaCl- Glu,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6C584E8C"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Sử dụng ngay sau khi mở hoặc pha loãng, có thể bảo quản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42E58599" w14:textId="77777777" w:rsidTr="00DC3FEB">
        <w:trPr>
          <w:trHeight w:val="1683"/>
        </w:trPr>
        <w:tc>
          <w:tcPr>
            <w:tcW w:w="483" w:type="dxa"/>
            <w:tcBorders>
              <w:top w:val="single" w:sz="4" w:space="0" w:color="000000"/>
              <w:left w:val="single" w:sz="4" w:space="0" w:color="000000"/>
              <w:bottom w:val="single" w:sz="4" w:space="0" w:color="000000"/>
              <w:right w:val="single" w:sz="4" w:space="0" w:color="000000"/>
            </w:tcBorders>
            <w:vAlign w:val="center"/>
          </w:tcPr>
          <w:p w14:paraId="7701DFA4" w14:textId="039BE1FD"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11</w:t>
            </w:r>
          </w:p>
        </w:tc>
        <w:tc>
          <w:tcPr>
            <w:tcW w:w="1605" w:type="dxa"/>
            <w:tcBorders>
              <w:top w:val="single" w:sz="4" w:space="0" w:color="000000"/>
              <w:left w:val="single" w:sz="4" w:space="0" w:color="000000"/>
              <w:bottom w:val="single" w:sz="4" w:space="0" w:color="000000"/>
              <w:right w:val="single" w:sz="4" w:space="0" w:color="000000"/>
            </w:tcBorders>
            <w:vAlign w:val="center"/>
          </w:tcPr>
          <w:p w14:paraId="1DED9A28"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Ceftriaxone bột pha tiêm 250mg, 500mg,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3F3FA282" w14:textId="77777777" w:rsidR="004C6851" w:rsidRPr="00AA344F" w:rsidRDefault="004C6851" w:rsidP="004C6851">
            <w:pPr>
              <w:autoSpaceDE w:val="0"/>
              <w:autoSpaceDN w:val="0"/>
              <w:adjustRightInd w:val="0"/>
              <w:spacing w:after="0" w:line="240" w:lineRule="auto"/>
              <w:jc w:val="center"/>
              <w:rPr>
                <w:color w:val="000000" w:themeColor="text1"/>
                <w:sz w:val="22"/>
                <w:szCs w:val="22"/>
                <w:lang w:val="fr-FR"/>
              </w:rPr>
            </w:pPr>
            <w:r w:rsidRPr="00AA344F">
              <w:rPr>
                <w:color w:val="000000" w:themeColor="text1"/>
                <w:sz w:val="22"/>
                <w:szCs w:val="22"/>
              </w:rPr>
              <w:t xml:space="preserve">*Pha mỗi 250mg với 1ml lidocaine </w:t>
            </w:r>
          </w:p>
          <w:p w14:paraId="074A34FD" w14:textId="77777777" w:rsidR="004C6851" w:rsidRPr="00AA344F" w:rsidRDefault="004C6851" w:rsidP="004C6851">
            <w:pPr>
              <w:autoSpaceDE w:val="0"/>
              <w:autoSpaceDN w:val="0"/>
              <w:adjustRightInd w:val="0"/>
              <w:spacing w:after="0" w:line="240" w:lineRule="auto"/>
              <w:jc w:val="center"/>
              <w:rPr>
                <w:color w:val="000000" w:themeColor="text1"/>
                <w:sz w:val="22"/>
                <w:szCs w:val="22"/>
                <w:lang w:val="fr-FR"/>
              </w:rPr>
            </w:pPr>
            <w:r w:rsidRPr="00AA344F">
              <w:rPr>
                <w:color w:val="000000" w:themeColor="text1"/>
                <w:sz w:val="22"/>
                <w:szCs w:val="22"/>
              </w:rPr>
              <w:t xml:space="preserve">*Liều &gt;1g nên được tiêm ở 2 vị trí khác nhau </w:t>
            </w:r>
            <w:r w:rsidRPr="00AA344F">
              <w:rPr>
                <w:color w:val="000000" w:themeColor="text1"/>
                <w:sz w:val="22"/>
                <w:szCs w:val="22"/>
                <w:lang w:val="fr-FR"/>
              </w:rPr>
              <w:t>[</w:t>
            </w:r>
            <w:r w:rsidRPr="00AA344F">
              <w:rPr>
                <w:color w:val="000000" w:themeColor="text1"/>
                <w:sz w:val="22"/>
                <w:szCs w:val="22"/>
              </w:rPr>
              <w:t>2</w:t>
            </w:r>
            <w:r w:rsidRPr="00AA344F">
              <w:rPr>
                <w:color w:val="000000" w:themeColor="text1"/>
                <w:sz w:val="22"/>
                <w:szCs w:val="22"/>
                <w:lang w:val="fr-FR"/>
              </w:rPr>
              <w:t>]</w:t>
            </w:r>
          </w:p>
        </w:tc>
        <w:tc>
          <w:tcPr>
            <w:tcW w:w="1598" w:type="dxa"/>
            <w:tcBorders>
              <w:top w:val="single" w:sz="4" w:space="0" w:color="000000"/>
              <w:left w:val="single" w:sz="4" w:space="0" w:color="000000"/>
              <w:bottom w:val="single" w:sz="4" w:space="0" w:color="000000"/>
              <w:right w:val="single" w:sz="4" w:space="0" w:color="000000"/>
            </w:tcBorders>
            <w:vAlign w:val="center"/>
          </w:tcPr>
          <w:p w14:paraId="44DF86A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1g trong 10ml NCPT [2]</w:t>
            </w:r>
          </w:p>
        </w:tc>
        <w:tc>
          <w:tcPr>
            <w:tcW w:w="982" w:type="dxa"/>
            <w:tcBorders>
              <w:top w:val="single" w:sz="4" w:space="0" w:color="000000"/>
              <w:left w:val="single" w:sz="4" w:space="0" w:color="000000"/>
              <w:bottom w:val="single" w:sz="4" w:space="0" w:color="000000"/>
              <w:right w:val="single" w:sz="4" w:space="0" w:color="000000"/>
            </w:tcBorders>
            <w:vAlign w:val="center"/>
          </w:tcPr>
          <w:p w14:paraId="4E3CBB95"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2-4 phút [2]</w:t>
            </w:r>
          </w:p>
        </w:tc>
        <w:tc>
          <w:tcPr>
            <w:tcW w:w="2209" w:type="dxa"/>
            <w:tcBorders>
              <w:top w:val="single" w:sz="4" w:space="0" w:color="000000"/>
              <w:left w:val="single" w:sz="4" w:space="0" w:color="000000"/>
              <w:bottom w:val="single" w:sz="4" w:space="0" w:color="000000"/>
              <w:right w:val="single" w:sz="4" w:space="0" w:color="000000"/>
            </w:tcBorders>
            <w:vAlign w:val="center"/>
          </w:tcPr>
          <w:p w14:paraId="0AF52EF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1g trong 10ml NCPT Pha loãng: 50-100 ml dung môi tương hợp [2]</w:t>
            </w:r>
          </w:p>
        </w:tc>
        <w:tc>
          <w:tcPr>
            <w:tcW w:w="1440" w:type="dxa"/>
            <w:tcBorders>
              <w:top w:val="single" w:sz="4" w:space="0" w:color="000000"/>
              <w:left w:val="single" w:sz="4" w:space="0" w:color="000000"/>
              <w:bottom w:val="single" w:sz="4" w:space="0" w:color="000000"/>
              <w:right w:val="single" w:sz="4" w:space="0" w:color="000000"/>
            </w:tcBorders>
            <w:vAlign w:val="center"/>
          </w:tcPr>
          <w:p w14:paraId="7B1708B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15-30 phút [1] ≥ 30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3DB6A95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NaCl- Glu, Ringer's,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238BBD2F"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Sử dụng ngay sau khi mở hoặc pha loãng, có thể bảo quản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177F9F3A"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7A430A08" w14:textId="0E39669A"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lastRenderedPageBreak/>
              <w:t>12</w:t>
            </w:r>
          </w:p>
        </w:tc>
        <w:tc>
          <w:tcPr>
            <w:tcW w:w="1605" w:type="dxa"/>
            <w:tcBorders>
              <w:top w:val="single" w:sz="4" w:space="0" w:color="000000"/>
              <w:left w:val="single" w:sz="4" w:space="0" w:color="000000"/>
              <w:bottom w:val="single" w:sz="4" w:space="0" w:color="000000"/>
              <w:right w:val="single" w:sz="4" w:space="0" w:color="000000"/>
            </w:tcBorders>
            <w:vAlign w:val="center"/>
          </w:tcPr>
          <w:p w14:paraId="78E4D1BC"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Ceftazidime bột pha tiêm 500mg,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7D4F0AC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mỗi 500mg/1.5ml NCPT, nước kìm khuẩn hoặc lidocain 1%</w:t>
            </w:r>
          </w:p>
        </w:tc>
        <w:tc>
          <w:tcPr>
            <w:tcW w:w="1598" w:type="dxa"/>
            <w:tcBorders>
              <w:top w:val="single" w:sz="4" w:space="0" w:color="000000"/>
              <w:left w:val="single" w:sz="4" w:space="0" w:color="000000"/>
              <w:bottom w:val="single" w:sz="4" w:space="0" w:color="000000"/>
              <w:right w:val="single" w:sz="4" w:space="0" w:color="000000"/>
            </w:tcBorders>
            <w:vAlign w:val="center"/>
          </w:tcPr>
          <w:p w14:paraId="5C5EAE98"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mỗi 500mg/5ml NCPT</w:t>
            </w:r>
          </w:p>
        </w:tc>
        <w:tc>
          <w:tcPr>
            <w:tcW w:w="982" w:type="dxa"/>
            <w:tcBorders>
              <w:top w:val="single" w:sz="4" w:space="0" w:color="000000"/>
              <w:left w:val="single" w:sz="4" w:space="0" w:color="000000"/>
              <w:bottom w:val="single" w:sz="4" w:space="0" w:color="000000"/>
              <w:right w:val="single" w:sz="4" w:space="0" w:color="000000"/>
            </w:tcBorders>
            <w:vAlign w:val="center"/>
          </w:tcPr>
          <w:p w14:paraId="375CDFC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01009D2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1g/10ml NCPT pha loãng: đến 10mg/ml</w:t>
            </w:r>
          </w:p>
        </w:tc>
        <w:tc>
          <w:tcPr>
            <w:tcW w:w="1440" w:type="dxa"/>
            <w:tcBorders>
              <w:top w:val="single" w:sz="4" w:space="0" w:color="000000"/>
              <w:left w:val="single" w:sz="4" w:space="0" w:color="000000"/>
              <w:bottom w:val="single" w:sz="4" w:space="0" w:color="000000"/>
              <w:right w:val="single" w:sz="4" w:space="0" w:color="000000"/>
            </w:tcBorders>
            <w:vAlign w:val="center"/>
          </w:tcPr>
          <w:p w14:paraId="0F9875F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66F27E6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 lactate</w:t>
            </w:r>
          </w:p>
        </w:tc>
        <w:tc>
          <w:tcPr>
            <w:tcW w:w="3320" w:type="dxa"/>
            <w:tcBorders>
              <w:top w:val="single" w:sz="4" w:space="0" w:color="000000"/>
              <w:left w:val="single" w:sz="4" w:space="0" w:color="000000"/>
              <w:bottom w:val="single" w:sz="4" w:space="0" w:color="000000"/>
              <w:right w:val="single" w:sz="4" w:space="0" w:color="000000"/>
            </w:tcBorders>
            <w:vAlign w:val="center"/>
          </w:tcPr>
          <w:p w14:paraId="7FE88D3F"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Khi hòa tan, sẽ tạo thành CO</w:t>
            </w:r>
            <w:r w:rsidRPr="00AA344F">
              <w:rPr>
                <w:color w:val="000000" w:themeColor="text1"/>
                <w:sz w:val="22"/>
                <w:szCs w:val="22"/>
                <w:vertAlign w:val="subscript"/>
              </w:rPr>
              <w:t>2</w:t>
            </w:r>
            <w:r w:rsidRPr="00AA344F">
              <w:rPr>
                <w:color w:val="000000" w:themeColor="text1"/>
                <w:sz w:val="22"/>
                <w:szCs w:val="22"/>
              </w:rPr>
              <w:t>, cần chờ 1-2 phút để loại hết CO</w:t>
            </w:r>
            <w:r w:rsidRPr="00AA344F">
              <w:rPr>
                <w:color w:val="000000" w:themeColor="text1"/>
                <w:sz w:val="22"/>
                <w:szCs w:val="22"/>
                <w:vertAlign w:val="subscript"/>
              </w:rPr>
              <w:t>2</w:t>
            </w:r>
            <w:r w:rsidRPr="00AA344F">
              <w:rPr>
                <w:color w:val="000000" w:themeColor="text1"/>
                <w:sz w:val="22"/>
                <w:szCs w:val="22"/>
              </w:rPr>
              <w:t xml:space="preserve"> trước khi sử dụng, sử dụng ngay sau khi pha, có thể bảo quản ở 2-8</w:t>
            </w:r>
            <w:r w:rsidRPr="00AA344F">
              <w:rPr>
                <w:color w:val="000000" w:themeColor="text1"/>
                <w:sz w:val="22"/>
                <w:szCs w:val="22"/>
                <w:vertAlign w:val="superscript"/>
              </w:rPr>
              <w:t>o</w:t>
            </w:r>
            <w:r w:rsidRPr="00AA344F">
              <w:rPr>
                <w:color w:val="000000" w:themeColor="text1"/>
                <w:sz w:val="22"/>
                <w:szCs w:val="22"/>
              </w:rPr>
              <w:t>C trong 24h</w:t>
            </w:r>
          </w:p>
        </w:tc>
      </w:tr>
      <w:tr w:rsidR="00AA344F" w:rsidRPr="00AA344F" w14:paraId="2BD2D27D"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160C38EF" w14:textId="4B21E48E"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13</w:t>
            </w:r>
          </w:p>
        </w:tc>
        <w:tc>
          <w:tcPr>
            <w:tcW w:w="1605" w:type="dxa"/>
            <w:tcBorders>
              <w:top w:val="single" w:sz="4" w:space="0" w:color="000000"/>
              <w:left w:val="single" w:sz="4" w:space="0" w:color="000000"/>
              <w:bottom w:val="single" w:sz="4" w:space="0" w:color="000000"/>
              <w:right w:val="single" w:sz="4" w:space="0" w:color="000000"/>
            </w:tcBorders>
            <w:vAlign w:val="center"/>
          </w:tcPr>
          <w:p w14:paraId="6DF0D986"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Cefoxitin bột pha tiêm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4BD5EC6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68DC107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1g/10ml dung môi tương hợp 2g/10 hoặc 20ml dung môi tương hợp</w:t>
            </w:r>
          </w:p>
        </w:tc>
        <w:tc>
          <w:tcPr>
            <w:tcW w:w="982" w:type="dxa"/>
            <w:tcBorders>
              <w:top w:val="single" w:sz="4" w:space="0" w:color="000000"/>
              <w:left w:val="single" w:sz="4" w:space="0" w:color="000000"/>
              <w:bottom w:val="single" w:sz="4" w:space="0" w:color="000000"/>
              <w:right w:val="single" w:sz="4" w:space="0" w:color="000000"/>
            </w:tcBorders>
            <w:vAlign w:val="center"/>
          </w:tcPr>
          <w:p w14:paraId="5D6FF97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2BC26DC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hoàn nguyên trong 50- 100ml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5CFB18F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p>
        </w:tc>
        <w:tc>
          <w:tcPr>
            <w:tcW w:w="1360" w:type="dxa"/>
            <w:tcBorders>
              <w:top w:val="single" w:sz="4" w:space="0" w:color="000000"/>
              <w:left w:val="single" w:sz="4" w:space="0" w:color="000000"/>
              <w:bottom w:val="single" w:sz="4" w:space="0" w:color="000000"/>
              <w:right w:val="single" w:sz="4" w:space="0" w:color="000000"/>
            </w:tcBorders>
            <w:vAlign w:val="center"/>
          </w:tcPr>
          <w:p w14:paraId="27F92D6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NaCl- Glu, Ringer's,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1D50477A"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5BDD058C"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66284011" w14:textId="6E4A07C8"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14</w:t>
            </w:r>
          </w:p>
        </w:tc>
        <w:tc>
          <w:tcPr>
            <w:tcW w:w="1605" w:type="dxa"/>
            <w:tcBorders>
              <w:top w:val="single" w:sz="4" w:space="0" w:color="000000"/>
              <w:left w:val="single" w:sz="4" w:space="0" w:color="000000"/>
              <w:bottom w:val="single" w:sz="4" w:space="0" w:color="000000"/>
              <w:right w:val="single" w:sz="4" w:space="0" w:color="000000"/>
            </w:tcBorders>
            <w:vAlign w:val="center"/>
          </w:tcPr>
          <w:p w14:paraId="312ECBEE"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Cefotaxime bột pha tiêm 500mg,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6B5237A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500mg/2ml, 1g/3ml, 2g/5ml NCPT *Liều trên 2g nên được tiêm ở 2 vị trí khác nhau</w:t>
            </w:r>
          </w:p>
        </w:tc>
        <w:tc>
          <w:tcPr>
            <w:tcW w:w="1598" w:type="dxa"/>
            <w:tcBorders>
              <w:top w:val="single" w:sz="4" w:space="0" w:color="000000"/>
              <w:left w:val="single" w:sz="4" w:space="0" w:color="000000"/>
              <w:bottom w:val="single" w:sz="4" w:space="0" w:color="000000"/>
              <w:right w:val="single" w:sz="4" w:space="0" w:color="000000"/>
            </w:tcBorders>
            <w:vAlign w:val="center"/>
          </w:tcPr>
          <w:p w14:paraId="4C2F26B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10ml NCPT</w:t>
            </w:r>
          </w:p>
        </w:tc>
        <w:tc>
          <w:tcPr>
            <w:tcW w:w="982" w:type="dxa"/>
            <w:tcBorders>
              <w:top w:val="single" w:sz="4" w:space="0" w:color="000000"/>
              <w:left w:val="single" w:sz="4" w:space="0" w:color="000000"/>
              <w:bottom w:val="single" w:sz="4" w:space="0" w:color="000000"/>
              <w:right w:val="single" w:sz="4" w:space="0" w:color="000000"/>
            </w:tcBorders>
            <w:vAlign w:val="center"/>
          </w:tcPr>
          <w:p w14:paraId="47EC205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48A2048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4ml NCPT pha loãng: 50-100ml Glu 5% hoặc NaCl 0.9% [2]</w:t>
            </w:r>
          </w:p>
        </w:tc>
        <w:tc>
          <w:tcPr>
            <w:tcW w:w="1440" w:type="dxa"/>
            <w:tcBorders>
              <w:top w:val="single" w:sz="4" w:space="0" w:color="000000"/>
              <w:left w:val="single" w:sz="4" w:space="0" w:color="000000"/>
              <w:bottom w:val="single" w:sz="4" w:space="0" w:color="000000"/>
              <w:right w:val="single" w:sz="4" w:space="0" w:color="000000"/>
            </w:tcBorders>
            <w:vAlign w:val="center"/>
          </w:tcPr>
          <w:p w14:paraId="0A953F4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20-60 phút [2]</w:t>
            </w:r>
          </w:p>
        </w:tc>
        <w:tc>
          <w:tcPr>
            <w:tcW w:w="1360" w:type="dxa"/>
            <w:tcBorders>
              <w:top w:val="single" w:sz="4" w:space="0" w:color="000000"/>
              <w:left w:val="single" w:sz="4" w:space="0" w:color="000000"/>
              <w:bottom w:val="single" w:sz="4" w:space="0" w:color="000000"/>
              <w:right w:val="single" w:sz="4" w:space="0" w:color="000000"/>
            </w:tcBorders>
            <w:vAlign w:val="center"/>
          </w:tcPr>
          <w:p w14:paraId="1AA89CF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w:t>
            </w:r>
          </w:p>
        </w:tc>
        <w:tc>
          <w:tcPr>
            <w:tcW w:w="3320" w:type="dxa"/>
            <w:tcBorders>
              <w:top w:val="single" w:sz="4" w:space="0" w:color="000000"/>
              <w:left w:val="single" w:sz="4" w:space="0" w:color="000000"/>
              <w:bottom w:val="single" w:sz="4" w:space="0" w:color="000000"/>
              <w:right w:val="single" w:sz="4" w:space="0" w:color="000000"/>
            </w:tcBorders>
            <w:vAlign w:val="center"/>
          </w:tcPr>
          <w:p w14:paraId="519BAA31"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Sử dụng ngay sau khi mở hoặc pha loãng, có thể bảo quản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2BED46FE"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92AAD57" w14:textId="29196896"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15</w:t>
            </w:r>
          </w:p>
        </w:tc>
        <w:tc>
          <w:tcPr>
            <w:tcW w:w="1605" w:type="dxa"/>
            <w:tcBorders>
              <w:top w:val="single" w:sz="4" w:space="0" w:color="000000"/>
              <w:left w:val="single" w:sz="4" w:space="0" w:color="000000"/>
              <w:bottom w:val="single" w:sz="4" w:space="0" w:color="000000"/>
              <w:right w:val="single" w:sz="4" w:space="0" w:color="000000"/>
            </w:tcBorders>
            <w:vAlign w:val="center"/>
          </w:tcPr>
          <w:p w14:paraId="0548C883"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Cefepime HCl bột pha tiêm 500mg, 1g, 2g</w:t>
            </w:r>
          </w:p>
        </w:tc>
        <w:tc>
          <w:tcPr>
            <w:tcW w:w="1583" w:type="dxa"/>
            <w:tcBorders>
              <w:top w:val="single" w:sz="4" w:space="0" w:color="000000"/>
              <w:left w:val="single" w:sz="4" w:space="0" w:color="000000"/>
              <w:bottom w:val="single" w:sz="4" w:space="0" w:color="000000"/>
              <w:right w:val="single" w:sz="4" w:space="0" w:color="000000"/>
            </w:tcBorders>
            <w:vAlign w:val="center"/>
          </w:tcPr>
          <w:p w14:paraId="5440FE4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500mg/1.3ml, 1g/2.4ml NCPT, nước kìm khuẩn, NaCl 0.9%, Glu 5%, Lidocaine HCl 0.5-1%</w:t>
            </w:r>
          </w:p>
        </w:tc>
        <w:tc>
          <w:tcPr>
            <w:tcW w:w="1598" w:type="dxa"/>
            <w:tcBorders>
              <w:top w:val="single" w:sz="4" w:space="0" w:color="000000"/>
              <w:left w:val="single" w:sz="4" w:space="0" w:color="000000"/>
              <w:bottom w:val="single" w:sz="4" w:space="0" w:color="000000"/>
              <w:right w:val="single" w:sz="4" w:space="0" w:color="000000"/>
            </w:tcBorders>
            <w:vAlign w:val="center"/>
          </w:tcPr>
          <w:p w14:paraId="5C6744C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00C66A7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56EF782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hoàn nguyên trong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3BE2367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7050F3B5"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Glu-NaCl [2]</w:t>
            </w:r>
          </w:p>
        </w:tc>
        <w:tc>
          <w:tcPr>
            <w:tcW w:w="3320" w:type="dxa"/>
            <w:tcBorders>
              <w:top w:val="single" w:sz="4" w:space="0" w:color="000000"/>
              <w:left w:val="single" w:sz="4" w:space="0" w:color="000000"/>
              <w:bottom w:val="single" w:sz="4" w:space="0" w:color="000000"/>
              <w:right w:val="single" w:sz="4" w:space="0" w:color="000000"/>
            </w:tcBorders>
            <w:vAlign w:val="center"/>
          </w:tcPr>
          <w:p w14:paraId="6CA25D96"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sau khi pha loãng bảo quản được ở nhiệt độ phòng trong 24h hoặc bảo quản lạnh trong 1 tuần</w:t>
            </w:r>
          </w:p>
        </w:tc>
      </w:tr>
      <w:tr w:rsidR="00AA344F" w:rsidRPr="00AA344F" w14:paraId="66FBEDB0" w14:textId="77777777" w:rsidTr="00DC3FEB">
        <w:trPr>
          <w:trHeight w:val="1195"/>
        </w:trPr>
        <w:tc>
          <w:tcPr>
            <w:tcW w:w="483" w:type="dxa"/>
            <w:tcBorders>
              <w:top w:val="single" w:sz="4" w:space="0" w:color="000000"/>
              <w:left w:val="single" w:sz="4" w:space="0" w:color="000000"/>
              <w:bottom w:val="single" w:sz="4" w:space="0" w:color="000000"/>
              <w:right w:val="single" w:sz="4" w:space="0" w:color="000000"/>
            </w:tcBorders>
            <w:vAlign w:val="center"/>
          </w:tcPr>
          <w:p w14:paraId="48C94FB8" w14:textId="4ECE0FBE"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16</w:t>
            </w:r>
          </w:p>
        </w:tc>
        <w:tc>
          <w:tcPr>
            <w:tcW w:w="1605" w:type="dxa"/>
            <w:tcBorders>
              <w:top w:val="single" w:sz="4" w:space="0" w:color="000000"/>
              <w:left w:val="single" w:sz="4" w:space="0" w:color="000000"/>
              <w:bottom w:val="single" w:sz="4" w:space="0" w:color="000000"/>
              <w:right w:val="single" w:sz="4" w:space="0" w:color="000000"/>
            </w:tcBorders>
            <w:vAlign w:val="center"/>
          </w:tcPr>
          <w:p w14:paraId="6E0430B0"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Cefazolin bột pha tiêm 500mg, 1g</w:t>
            </w:r>
          </w:p>
        </w:tc>
        <w:tc>
          <w:tcPr>
            <w:tcW w:w="1583" w:type="dxa"/>
            <w:tcBorders>
              <w:top w:val="single" w:sz="4" w:space="0" w:color="000000"/>
              <w:left w:val="single" w:sz="4" w:space="0" w:color="000000"/>
              <w:bottom w:val="single" w:sz="4" w:space="0" w:color="000000"/>
              <w:right w:val="single" w:sz="4" w:space="0" w:color="000000"/>
            </w:tcBorders>
            <w:vAlign w:val="center"/>
          </w:tcPr>
          <w:p w14:paraId="31CCD0E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500mg/2ml NCPT hoặc NaCl 0.9%; 1g/2.5ml NCPT</w:t>
            </w:r>
          </w:p>
        </w:tc>
        <w:tc>
          <w:tcPr>
            <w:tcW w:w="1598" w:type="dxa"/>
            <w:tcBorders>
              <w:top w:val="single" w:sz="4" w:space="0" w:color="000000"/>
              <w:left w:val="single" w:sz="4" w:space="0" w:color="000000"/>
              <w:bottom w:val="single" w:sz="4" w:space="0" w:color="000000"/>
              <w:right w:val="single" w:sz="4" w:space="0" w:color="000000"/>
            </w:tcBorders>
            <w:vAlign w:val="center"/>
          </w:tcPr>
          <w:p w14:paraId="1976858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5ml NCPT</w:t>
            </w:r>
          </w:p>
        </w:tc>
        <w:tc>
          <w:tcPr>
            <w:tcW w:w="982" w:type="dxa"/>
            <w:tcBorders>
              <w:top w:val="single" w:sz="4" w:space="0" w:color="000000"/>
              <w:left w:val="single" w:sz="4" w:space="0" w:color="000000"/>
              <w:bottom w:val="single" w:sz="4" w:space="0" w:color="000000"/>
              <w:right w:val="single" w:sz="4" w:space="0" w:color="000000"/>
            </w:tcBorders>
            <w:vAlign w:val="center"/>
          </w:tcPr>
          <w:p w14:paraId="72ED8FE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1EB6F83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hoàn nguyên trong 50- 100 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6C5D720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Truyền liên tục</w:t>
            </w:r>
          </w:p>
        </w:tc>
        <w:tc>
          <w:tcPr>
            <w:tcW w:w="1360" w:type="dxa"/>
            <w:tcBorders>
              <w:top w:val="single" w:sz="4" w:space="0" w:color="000000"/>
              <w:left w:val="single" w:sz="4" w:space="0" w:color="000000"/>
              <w:bottom w:val="single" w:sz="4" w:space="0" w:color="000000"/>
              <w:right w:val="single" w:sz="4" w:space="0" w:color="000000"/>
            </w:tcBorders>
            <w:vAlign w:val="center"/>
          </w:tcPr>
          <w:p w14:paraId="57ED6AA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 lactate</w:t>
            </w:r>
          </w:p>
        </w:tc>
        <w:tc>
          <w:tcPr>
            <w:tcW w:w="3320" w:type="dxa"/>
            <w:tcBorders>
              <w:top w:val="single" w:sz="4" w:space="0" w:color="000000"/>
              <w:left w:val="single" w:sz="4" w:space="0" w:color="000000"/>
              <w:bottom w:val="single" w:sz="4" w:space="0" w:color="000000"/>
              <w:right w:val="single" w:sz="4" w:space="0" w:color="000000"/>
            </w:tcBorders>
            <w:vAlign w:val="center"/>
          </w:tcPr>
          <w:p w14:paraId="4A20CA41"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sau khi pha bảo quản được ở nhiệt độ phòng trong 24h hoặc bảo quản lạnh trong 10 ngày</w:t>
            </w:r>
          </w:p>
        </w:tc>
      </w:tr>
      <w:tr w:rsidR="00AA344F" w:rsidRPr="00AA344F" w14:paraId="29079585"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08B9C14E" w14:textId="523ED047"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17</w:t>
            </w:r>
          </w:p>
        </w:tc>
        <w:tc>
          <w:tcPr>
            <w:tcW w:w="1605" w:type="dxa"/>
            <w:tcBorders>
              <w:top w:val="single" w:sz="4" w:space="0" w:color="000000"/>
              <w:left w:val="single" w:sz="4" w:space="0" w:color="000000"/>
              <w:bottom w:val="single" w:sz="4" w:space="0" w:color="000000"/>
              <w:right w:val="single" w:sz="4" w:space="0" w:color="000000"/>
            </w:tcBorders>
            <w:vAlign w:val="center"/>
          </w:tcPr>
          <w:p w14:paraId="59397712"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Gentamicin ống dung dịch tiêm 40mg/ml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0C99CE0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Liều ≥4ml nên tiêm ở các vị trí khác nhau</w:t>
            </w:r>
          </w:p>
        </w:tc>
        <w:tc>
          <w:tcPr>
            <w:tcW w:w="1598" w:type="dxa"/>
            <w:tcBorders>
              <w:top w:val="single" w:sz="4" w:space="0" w:color="000000"/>
              <w:left w:val="single" w:sz="4" w:space="0" w:color="000000"/>
              <w:bottom w:val="single" w:sz="4" w:space="0" w:color="000000"/>
              <w:right w:val="single" w:sz="4" w:space="0" w:color="000000"/>
            </w:tcBorders>
            <w:vAlign w:val="center"/>
          </w:tcPr>
          <w:p w14:paraId="03827A6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w:t>
            </w:r>
          </w:p>
        </w:tc>
        <w:tc>
          <w:tcPr>
            <w:tcW w:w="982" w:type="dxa"/>
            <w:tcBorders>
              <w:top w:val="single" w:sz="4" w:space="0" w:color="000000"/>
              <w:left w:val="single" w:sz="4" w:space="0" w:color="000000"/>
              <w:bottom w:val="single" w:sz="4" w:space="0" w:color="000000"/>
              <w:right w:val="single" w:sz="4" w:space="0" w:color="000000"/>
            </w:tcBorders>
            <w:vAlign w:val="center"/>
          </w:tcPr>
          <w:p w14:paraId="3F9E854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 [2]</w:t>
            </w:r>
          </w:p>
        </w:tc>
        <w:tc>
          <w:tcPr>
            <w:tcW w:w="2209" w:type="dxa"/>
            <w:tcBorders>
              <w:top w:val="single" w:sz="4" w:space="0" w:color="000000"/>
              <w:left w:val="single" w:sz="4" w:space="0" w:color="000000"/>
              <w:bottom w:val="single" w:sz="4" w:space="0" w:color="000000"/>
              <w:right w:val="single" w:sz="4" w:space="0" w:color="000000"/>
            </w:tcBorders>
            <w:vAlign w:val="center"/>
          </w:tcPr>
          <w:p w14:paraId="3F6CCA8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50-200ml NaCl 0.9% hoặc Glu 5%</w:t>
            </w:r>
          </w:p>
        </w:tc>
        <w:tc>
          <w:tcPr>
            <w:tcW w:w="1440" w:type="dxa"/>
            <w:tcBorders>
              <w:top w:val="single" w:sz="4" w:space="0" w:color="000000"/>
              <w:left w:val="single" w:sz="4" w:space="0" w:color="000000"/>
              <w:bottom w:val="single" w:sz="4" w:space="0" w:color="000000"/>
              <w:right w:val="single" w:sz="4" w:space="0" w:color="000000"/>
            </w:tcBorders>
            <w:vAlign w:val="center"/>
          </w:tcPr>
          <w:p w14:paraId="4BA2FBB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0.5-2h</w:t>
            </w:r>
          </w:p>
        </w:tc>
        <w:tc>
          <w:tcPr>
            <w:tcW w:w="1360" w:type="dxa"/>
            <w:tcBorders>
              <w:top w:val="single" w:sz="4" w:space="0" w:color="000000"/>
              <w:left w:val="single" w:sz="4" w:space="0" w:color="000000"/>
              <w:bottom w:val="single" w:sz="4" w:space="0" w:color="000000"/>
              <w:right w:val="single" w:sz="4" w:space="0" w:color="000000"/>
            </w:tcBorders>
            <w:vAlign w:val="center"/>
          </w:tcPr>
          <w:p w14:paraId="46A0087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Gluc 5%, Gluc- NaCl, Hartmann’s [2]</w:t>
            </w:r>
          </w:p>
        </w:tc>
        <w:tc>
          <w:tcPr>
            <w:tcW w:w="3320" w:type="dxa"/>
            <w:tcBorders>
              <w:top w:val="single" w:sz="4" w:space="0" w:color="000000"/>
              <w:left w:val="single" w:sz="4" w:space="0" w:color="000000"/>
              <w:bottom w:val="single" w:sz="4" w:space="0" w:color="000000"/>
              <w:right w:val="single" w:sz="4" w:space="0" w:color="000000"/>
            </w:tcBorders>
            <w:vAlign w:val="center"/>
          </w:tcPr>
          <w:p w14:paraId="64368FF2"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Dùng ngay sau khi pha, có thể bảo quản ở 2-8</w:t>
            </w:r>
            <w:r w:rsidRPr="00AA344F">
              <w:rPr>
                <w:color w:val="000000" w:themeColor="text1"/>
                <w:sz w:val="22"/>
                <w:szCs w:val="22"/>
                <w:vertAlign w:val="superscript"/>
              </w:rPr>
              <w:t>o</w:t>
            </w:r>
            <w:r w:rsidRPr="00AA344F">
              <w:rPr>
                <w:color w:val="000000" w:themeColor="text1"/>
                <w:sz w:val="22"/>
                <w:szCs w:val="22"/>
              </w:rPr>
              <w:t>C trong 24h; dung dịch sau pha loãng ổn định trong 24h ở nhiệt độ phòng (25</w:t>
            </w:r>
            <w:r w:rsidRPr="00AA344F">
              <w:rPr>
                <w:color w:val="000000" w:themeColor="text1"/>
                <w:sz w:val="22"/>
                <w:szCs w:val="22"/>
                <w:vertAlign w:val="superscript"/>
              </w:rPr>
              <w:t>o</w:t>
            </w:r>
            <w:r w:rsidRPr="00AA344F">
              <w:rPr>
                <w:color w:val="000000" w:themeColor="text1"/>
                <w:sz w:val="22"/>
                <w:szCs w:val="22"/>
              </w:rPr>
              <w:t>C) [1]</w:t>
            </w:r>
          </w:p>
          <w:p w14:paraId="04721E78"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30382058"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561A4C8F" w14:textId="4EC90EFB"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lastRenderedPageBreak/>
              <w:t>18</w:t>
            </w:r>
          </w:p>
        </w:tc>
        <w:tc>
          <w:tcPr>
            <w:tcW w:w="1605" w:type="dxa"/>
            <w:tcBorders>
              <w:top w:val="single" w:sz="4" w:space="0" w:color="000000"/>
              <w:left w:val="single" w:sz="4" w:space="0" w:color="000000"/>
              <w:bottom w:val="single" w:sz="4" w:space="0" w:color="000000"/>
              <w:right w:val="single" w:sz="4" w:space="0" w:color="000000"/>
            </w:tcBorders>
            <w:vAlign w:val="center"/>
          </w:tcPr>
          <w:p w14:paraId="49F7DACC"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Levofloxacin dịch truyền pha sẵn 5mg/ml ống dung dịch 25mg/ml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44919D9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2156E59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1DB2E63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73369854"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 xml:space="preserve">* Dịch truyền pha sẵn </w:t>
            </w:r>
          </w:p>
          <w:p w14:paraId="107ED23E"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 Pha loãng với dung môi thích hợp đến 5mg/ml</w:t>
            </w:r>
          </w:p>
        </w:tc>
        <w:tc>
          <w:tcPr>
            <w:tcW w:w="1440" w:type="dxa"/>
            <w:tcBorders>
              <w:top w:val="single" w:sz="4" w:space="0" w:color="000000"/>
              <w:left w:val="single" w:sz="4" w:space="0" w:color="000000"/>
              <w:bottom w:val="single" w:sz="4" w:space="0" w:color="000000"/>
              <w:right w:val="single" w:sz="4" w:space="0" w:color="000000"/>
            </w:tcBorders>
            <w:vAlign w:val="center"/>
          </w:tcPr>
          <w:p w14:paraId="6C545496"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xml:space="preserve">≥ 60 phút cho liều 500mg; </w:t>
            </w:r>
          </w:p>
          <w:p w14:paraId="7A3DE3F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≥90 phút cho liều 750mg</w:t>
            </w:r>
          </w:p>
        </w:tc>
        <w:tc>
          <w:tcPr>
            <w:tcW w:w="1360" w:type="dxa"/>
            <w:tcBorders>
              <w:top w:val="single" w:sz="4" w:space="0" w:color="000000"/>
              <w:left w:val="single" w:sz="4" w:space="0" w:color="000000"/>
              <w:bottom w:val="single" w:sz="4" w:space="0" w:color="000000"/>
              <w:right w:val="single" w:sz="4" w:space="0" w:color="000000"/>
            </w:tcBorders>
            <w:vAlign w:val="center"/>
          </w:tcPr>
          <w:p w14:paraId="335E92A8"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 5%</w:t>
            </w:r>
          </w:p>
        </w:tc>
        <w:tc>
          <w:tcPr>
            <w:tcW w:w="3320" w:type="dxa"/>
            <w:tcBorders>
              <w:top w:val="single" w:sz="4" w:space="0" w:color="000000"/>
              <w:left w:val="single" w:sz="4" w:space="0" w:color="000000"/>
              <w:bottom w:val="single" w:sz="4" w:space="0" w:color="000000"/>
              <w:right w:val="single" w:sz="4" w:space="0" w:color="000000"/>
            </w:tcBorders>
            <w:vAlign w:val="center"/>
          </w:tcPr>
          <w:p w14:paraId="1C3D20CA"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Dùng ngay sau khi mở, nếu không dùng hết phải bỏ phần còn lại đi; Dung dịch sau pha loãng ở 5mg/ml ổn định trong vòng 72 giờ ở nhiệt độ = &lt;25</w:t>
            </w:r>
            <w:r w:rsidRPr="00AA344F">
              <w:rPr>
                <w:color w:val="000000" w:themeColor="text1"/>
                <w:sz w:val="22"/>
                <w:szCs w:val="22"/>
                <w:vertAlign w:val="superscript"/>
              </w:rPr>
              <w:t>o</w:t>
            </w:r>
            <w:r w:rsidRPr="00AA344F">
              <w:rPr>
                <w:color w:val="000000" w:themeColor="text1"/>
                <w:sz w:val="22"/>
                <w:szCs w:val="22"/>
              </w:rPr>
              <w:t>C hoặc 14 ngày ở 5</w:t>
            </w:r>
            <w:r w:rsidRPr="00AA344F">
              <w:rPr>
                <w:color w:val="000000" w:themeColor="text1"/>
                <w:sz w:val="22"/>
                <w:szCs w:val="22"/>
                <w:vertAlign w:val="superscript"/>
              </w:rPr>
              <w:t>o</w:t>
            </w:r>
            <w:r w:rsidRPr="00AA344F">
              <w:rPr>
                <w:color w:val="000000" w:themeColor="text1"/>
                <w:sz w:val="22"/>
                <w:szCs w:val="22"/>
              </w:rPr>
              <w:t>C [1]</w:t>
            </w:r>
          </w:p>
          <w:p w14:paraId="4E2D057B"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4D070740"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743D8F94" w14:textId="12508F33"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19</w:t>
            </w:r>
          </w:p>
        </w:tc>
        <w:tc>
          <w:tcPr>
            <w:tcW w:w="1605" w:type="dxa"/>
            <w:tcBorders>
              <w:top w:val="single" w:sz="4" w:space="0" w:color="000000"/>
              <w:left w:val="single" w:sz="4" w:space="0" w:color="000000"/>
              <w:bottom w:val="single" w:sz="4" w:space="0" w:color="000000"/>
              <w:right w:val="single" w:sz="4" w:space="0" w:color="000000"/>
            </w:tcBorders>
            <w:vAlign w:val="center"/>
          </w:tcPr>
          <w:p w14:paraId="78BA2922"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Metronidazole dịch truyền pha sẵn 5mg/ml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18C8EDA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6F529DBF"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4F7AA66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2F4F1E6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Không cần pha loãng</w:t>
            </w:r>
          </w:p>
        </w:tc>
        <w:tc>
          <w:tcPr>
            <w:tcW w:w="1440" w:type="dxa"/>
            <w:tcBorders>
              <w:top w:val="single" w:sz="4" w:space="0" w:color="000000"/>
              <w:left w:val="single" w:sz="4" w:space="0" w:color="000000"/>
              <w:bottom w:val="single" w:sz="4" w:space="0" w:color="000000"/>
              <w:right w:val="single" w:sz="4" w:space="0" w:color="000000"/>
            </w:tcBorders>
            <w:vAlign w:val="center"/>
          </w:tcPr>
          <w:p w14:paraId="094F275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60 phút, hoặc truyền tĩnh mạch liên tục</w:t>
            </w:r>
          </w:p>
        </w:tc>
        <w:tc>
          <w:tcPr>
            <w:tcW w:w="1360" w:type="dxa"/>
            <w:tcBorders>
              <w:top w:val="single" w:sz="4" w:space="0" w:color="000000"/>
              <w:left w:val="single" w:sz="4" w:space="0" w:color="000000"/>
              <w:bottom w:val="single" w:sz="4" w:space="0" w:color="000000"/>
              <w:right w:val="single" w:sz="4" w:space="0" w:color="000000"/>
            </w:tcBorders>
            <w:vAlign w:val="center"/>
          </w:tcPr>
          <w:p w14:paraId="3CA53C7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 5%, NaCl- Glu [2]</w:t>
            </w:r>
          </w:p>
        </w:tc>
        <w:tc>
          <w:tcPr>
            <w:tcW w:w="3320" w:type="dxa"/>
            <w:tcBorders>
              <w:top w:val="single" w:sz="4" w:space="0" w:color="000000"/>
              <w:left w:val="single" w:sz="4" w:space="0" w:color="000000"/>
              <w:bottom w:val="single" w:sz="4" w:space="0" w:color="000000"/>
              <w:right w:val="single" w:sz="4" w:space="0" w:color="000000"/>
            </w:tcBorders>
            <w:vAlign w:val="center"/>
          </w:tcPr>
          <w:p w14:paraId="26FF5ABD"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Không bảo quản lạnh để tránh kết tinh, dùng ngay sau khi mở, nếu không dùng hết phải bỏ đi</w:t>
            </w:r>
          </w:p>
          <w:p w14:paraId="2A0CEDAE" w14:textId="77777777" w:rsidR="004C6851" w:rsidRPr="00AA344F" w:rsidRDefault="004C6851" w:rsidP="004C6851">
            <w:pPr>
              <w:autoSpaceDE w:val="0"/>
              <w:autoSpaceDN w:val="0"/>
              <w:adjustRightInd w:val="0"/>
              <w:spacing w:after="0" w:line="240" w:lineRule="auto"/>
              <w:rPr>
                <w:color w:val="000000" w:themeColor="text1"/>
                <w:sz w:val="22"/>
                <w:szCs w:val="22"/>
              </w:rPr>
            </w:pPr>
          </w:p>
        </w:tc>
      </w:tr>
      <w:tr w:rsidR="00AA344F" w:rsidRPr="00AA344F" w14:paraId="26637110"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3AC5D59" w14:textId="37924D1A"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20</w:t>
            </w:r>
          </w:p>
        </w:tc>
        <w:tc>
          <w:tcPr>
            <w:tcW w:w="1605" w:type="dxa"/>
            <w:tcBorders>
              <w:top w:val="single" w:sz="4" w:space="0" w:color="000000"/>
              <w:left w:val="single" w:sz="4" w:space="0" w:color="000000"/>
              <w:bottom w:val="single" w:sz="4" w:space="0" w:color="000000"/>
              <w:right w:val="single" w:sz="4" w:space="0" w:color="000000"/>
            </w:tcBorders>
            <w:vAlign w:val="center"/>
          </w:tcPr>
          <w:p w14:paraId="46860157"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Piperacillin bột pha tiêm 2g, 3g, 4g</w:t>
            </w:r>
          </w:p>
        </w:tc>
        <w:tc>
          <w:tcPr>
            <w:tcW w:w="1583" w:type="dxa"/>
            <w:tcBorders>
              <w:top w:val="single" w:sz="4" w:space="0" w:color="000000"/>
              <w:left w:val="single" w:sz="4" w:space="0" w:color="000000"/>
              <w:bottom w:val="single" w:sz="4" w:space="0" w:color="000000"/>
              <w:right w:val="single" w:sz="4" w:space="0" w:color="000000"/>
            </w:tcBorders>
            <w:vAlign w:val="center"/>
          </w:tcPr>
          <w:p w14:paraId="1DEE309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đến nồng độ 1g/2.5ml bằng NCPT, NaCl 0.9%, Glu5%- NaCl 0.9%, Lidocain HCl 0.5-1%</w:t>
            </w:r>
          </w:p>
        </w:tc>
        <w:tc>
          <w:tcPr>
            <w:tcW w:w="1598" w:type="dxa"/>
            <w:tcBorders>
              <w:top w:val="single" w:sz="4" w:space="0" w:color="000000"/>
              <w:left w:val="single" w:sz="4" w:space="0" w:color="000000"/>
              <w:bottom w:val="single" w:sz="4" w:space="0" w:color="000000"/>
              <w:right w:val="single" w:sz="4" w:space="0" w:color="000000"/>
            </w:tcBorders>
            <w:vAlign w:val="center"/>
          </w:tcPr>
          <w:p w14:paraId="55C9C28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1g/5ml NCPT, NaCl 0.9%, nước kìm khuẩn, Glu 5%, Glu 5%-NaCl 0.9%</w:t>
            </w:r>
          </w:p>
        </w:tc>
        <w:tc>
          <w:tcPr>
            <w:tcW w:w="982" w:type="dxa"/>
            <w:tcBorders>
              <w:top w:val="single" w:sz="4" w:space="0" w:color="000000"/>
              <w:left w:val="single" w:sz="4" w:space="0" w:color="000000"/>
              <w:bottom w:val="single" w:sz="4" w:space="0" w:color="000000"/>
              <w:right w:val="single" w:sz="4" w:space="0" w:color="000000"/>
            </w:tcBorders>
            <w:vAlign w:val="center"/>
          </w:tcPr>
          <w:p w14:paraId="38379F9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w:t>
            </w:r>
          </w:p>
        </w:tc>
        <w:tc>
          <w:tcPr>
            <w:tcW w:w="2209" w:type="dxa"/>
            <w:tcBorders>
              <w:top w:val="single" w:sz="4" w:space="0" w:color="000000"/>
              <w:left w:val="single" w:sz="4" w:space="0" w:color="000000"/>
              <w:bottom w:val="single" w:sz="4" w:space="0" w:color="000000"/>
              <w:right w:val="single" w:sz="4" w:space="0" w:color="000000"/>
            </w:tcBorders>
            <w:vAlign w:val="center"/>
          </w:tcPr>
          <w:p w14:paraId="48F122D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hoàn nguyên trong ít nhất 50ml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65D26F8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20-30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550DEE61"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w:t>
            </w:r>
          </w:p>
        </w:tc>
        <w:tc>
          <w:tcPr>
            <w:tcW w:w="3320" w:type="dxa"/>
            <w:tcBorders>
              <w:top w:val="single" w:sz="4" w:space="0" w:color="000000"/>
              <w:left w:val="single" w:sz="4" w:space="0" w:color="000000"/>
              <w:bottom w:val="single" w:sz="4" w:space="0" w:color="000000"/>
              <w:right w:val="single" w:sz="4" w:space="0" w:color="000000"/>
            </w:tcBorders>
            <w:vAlign w:val="center"/>
          </w:tcPr>
          <w:p w14:paraId="127ED2A3"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Không tiêm bắp hơn 2g piperacillin ở cùng 1 vị trí</w:t>
            </w:r>
          </w:p>
        </w:tc>
      </w:tr>
      <w:tr w:rsidR="00AA344F" w:rsidRPr="00AA344F" w14:paraId="64757553" w14:textId="77777777" w:rsidTr="00DC3FEB">
        <w:trPr>
          <w:trHeight w:val="1301"/>
        </w:trPr>
        <w:tc>
          <w:tcPr>
            <w:tcW w:w="483" w:type="dxa"/>
            <w:tcBorders>
              <w:top w:val="single" w:sz="4" w:space="0" w:color="000000"/>
              <w:left w:val="single" w:sz="4" w:space="0" w:color="000000"/>
              <w:bottom w:val="single" w:sz="4" w:space="0" w:color="000000"/>
              <w:right w:val="single" w:sz="4" w:space="0" w:color="000000"/>
            </w:tcBorders>
            <w:vAlign w:val="center"/>
          </w:tcPr>
          <w:p w14:paraId="4FF52EFB" w14:textId="02A4B36B"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21</w:t>
            </w:r>
          </w:p>
        </w:tc>
        <w:tc>
          <w:tcPr>
            <w:tcW w:w="1605" w:type="dxa"/>
            <w:tcBorders>
              <w:top w:val="single" w:sz="4" w:space="0" w:color="000000"/>
              <w:left w:val="single" w:sz="4" w:space="0" w:color="000000"/>
              <w:bottom w:val="single" w:sz="4" w:space="0" w:color="000000"/>
              <w:right w:val="single" w:sz="4" w:space="0" w:color="000000"/>
            </w:tcBorders>
            <w:vAlign w:val="center"/>
          </w:tcPr>
          <w:p w14:paraId="0C18278E"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Piperacillin - tazobactam Bột pha tiêm 2.5g hoặc 4.5g</w:t>
            </w:r>
          </w:p>
        </w:tc>
        <w:tc>
          <w:tcPr>
            <w:tcW w:w="1583" w:type="dxa"/>
            <w:tcBorders>
              <w:top w:val="single" w:sz="4" w:space="0" w:color="000000"/>
              <w:left w:val="single" w:sz="4" w:space="0" w:color="000000"/>
              <w:bottom w:val="single" w:sz="4" w:space="0" w:color="000000"/>
              <w:right w:val="single" w:sz="4" w:space="0" w:color="000000"/>
            </w:tcBorders>
            <w:vAlign w:val="center"/>
          </w:tcPr>
          <w:p w14:paraId="15B23A4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71732290"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2.5g/10ml, 4.5g/20ml NCPT hoặc NaCl 0.9% [2]</w:t>
            </w:r>
          </w:p>
        </w:tc>
        <w:tc>
          <w:tcPr>
            <w:tcW w:w="982" w:type="dxa"/>
            <w:tcBorders>
              <w:top w:val="single" w:sz="4" w:space="0" w:color="000000"/>
              <w:left w:val="single" w:sz="4" w:space="0" w:color="000000"/>
              <w:bottom w:val="single" w:sz="4" w:space="0" w:color="000000"/>
              <w:right w:val="single" w:sz="4" w:space="0" w:color="000000"/>
            </w:tcBorders>
            <w:vAlign w:val="center"/>
          </w:tcPr>
          <w:p w14:paraId="6901EDE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 [2]</w:t>
            </w:r>
          </w:p>
        </w:tc>
        <w:tc>
          <w:tcPr>
            <w:tcW w:w="2209" w:type="dxa"/>
            <w:tcBorders>
              <w:top w:val="single" w:sz="4" w:space="0" w:color="000000"/>
              <w:left w:val="single" w:sz="4" w:space="0" w:color="000000"/>
              <w:bottom w:val="single" w:sz="4" w:space="0" w:color="000000"/>
              <w:right w:val="single" w:sz="4" w:space="0" w:color="000000"/>
            </w:tcBorders>
            <w:vAlign w:val="center"/>
          </w:tcPr>
          <w:p w14:paraId="0A1110B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dung dịch hoàn nguyên trong ít nhất 50ml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4BBBD74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 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003DEC7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Ringer lactate</w:t>
            </w:r>
          </w:p>
        </w:tc>
        <w:tc>
          <w:tcPr>
            <w:tcW w:w="3320" w:type="dxa"/>
            <w:tcBorders>
              <w:top w:val="single" w:sz="4" w:space="0" w:color="000000"/>
              <w:left w:val="single" w:sz="4" w:space="0" w:color="000000"/>
              <w:bottom w:val="single" w:sz="4" w:space="0" w:color="000000"/>
              <w:right w:val="single" w:sz="4" w:space="0" w:color="000000"/>
            </w:tcBorders>
            <w:vAlign w:val="center"/>
          </w:tcPr>
          <w:p w14:paraId="62A4B9B6"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Quá trình hòa tan có thể mất đến 10 phút, dung dịch hoàn nguyên nên được bỏ đi sau 24h ở nhiệt độ phòng và sau 48h ở 2</w:t>
            </w:r>
            <w:r w:rsidRPr="00AA344F">
              <w:rPr>
                <w:color w:val="000000" w:themeColor="text1"/>
                <w:sz w:val="22"/>
                <w:szCs w:val="22"/>
                <w:vertAlign w:val="superscript"/>
              </w:rPr>
              <w:t>o</w:t>
            </w:r>
            <w:r w:rsidRPr="00AA344F">
              <w:rPr>
                <w:color w:val="000000" w:themeColor="text1"/>
                <w:sz w:val="22"/>
                <w:szCs w:val="22"/>
              </w:rPr>
              <w:t>-8</w:t>
            </w:r>
            <w:r w:rsidRPr="00AA344F">
              <w:rPr>
                <w:color w:val="000000" w:themeColor="text1"/>
                <w:sz w:val="22"/>
                <w:szCs w:val="22"/>
                <w:vertAlign w:val="superscript"/>
              </w:rPr>
              <w:t>o</w:t>
            </w:r>
            <w:r w:rsidRPr="00AA344F">
              <w:rPr>
                <w:color w:val="000000" w:themeColor="text1"/>
                <w:sz w:val="22"/>
                <w:szCs w:val="22"/>
              </w:rPr>
              <w:t>C</w:t>
            </w:r>
          </w:p>
        </w:tc>
      </w:tr>
      <w:tr w:rsidR="00AA344F" w:rsidRPr="00AA344F" w14:paraId="380ACAE8" w14:textId="77777777" w:rsidTr="00DC3FEB">
        <w:trPr>
          <w:trHeight w:val="1982"/>
        </w:trPr>
        <w:tc>
          <w:tcPr>
            <w:tcW w:w="483" w:type="dxa"/>
            <w:tcBorders>
              <w:top w:val="single" w:sz="4" w:space="0" w:color="000000"/>
              <w:left w:val="single" w:sz="4" w:space="0" w:color="000000"/>
              <w:bottom w:val="single" w:sz="4" w:space="0" w:color="000000"/>
              <w:right w:val="single" w:sz="4" w:space="0" w:color="000000"/>
            </w:tcBorders>
            <w:vAlign w:val="center"/>
          </w:tcPr>
          <w:p w14:paraId="6A6D4FFA" w14:textId="0383C29A"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22</w:t>
            </w:r>
          </w:p>
        </w:tc>
        <w:tc>
          <w:tcPr>
            <w:tcW w:w="1605" w:type="dxa"/>
            <w:tcBorders>
              <w:top w:val="single" w:sz="4" w:space="0" w:color="000000"/>
              <w:left w:val="single" w:sz="4" w:space="0" w:color="000000"/>
              <w:bottom w:val="single" w:sz="4" w:space="0" w:color="000000"/>
              <w:right w:val="single" w:sz="4" w:space="0" w:color="000000"/>
            </w:tcBorders>
            <w:vAlign w:val="center"/>
          </w:tcPr>
          <w:p w14:paraId="7EA21F61"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Streptomycin bột pha tiêm 1g, ống dung dịch tiêm 1g/2.5ml</w:t>
            </w:r>
          </w:p>
        </w:tc>
        <w:tc>
          <w:tcPr>
            <w:tcW w:w="1583" w:type="dxa"/>
            <w:tcBorders>
              <w:top w:val="single" w:sz="4" w:space="0" w:color="000000"/>
              <w:left w:val="single" w:sz="4" w:space="0" w:color="000000"/>
              <w:bottom w:val="single" w:sz="4" w:space="0" w:color="000000"/>
              <w:right w:val="single" w:sz="4" w:space="0" w:color="000000"/>
            </w:tcBorders>
            <w:vAlign w:val="center"/>
          </w:tcPr>
          <w:p w14:paraId="2C9ACC38"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trong NCPT: 4.2ml tạo dung dịch 200mg/ml, 3.2ml: 250mg/ml 1.8ml: 400mg/ml [2]</w:t>
            </w:r>
          </w:p>
        </w:tc>
        <w:tc>
          <w:tcPr>
            <w:tcW w:w="1598" w:type="dxa"/>
            <w:tcBorders>
              <w:top w:val="single" w:sz="4" w:space="0" w:color="000000"/>
              <w:left w:val="single" w:sz="4" w:space="0" w:color="000000"/>
              <w:bottom w:val="single" w:sz="4" w:space="0" w:color="000000"/>
              <w:right w:val="single" w:sz="4" w:space="0" w:color="000000"/>
            </w:tcBorders>
            <w:vAlign w:val="center"/>
          </w:tcPr>
          <w:p w14:paraId="49993D1C"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16CA40E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6829913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440" w:type="dxa"/>
            <w:tcBorders>
              <w:top w:val="single" w:sz="4" w:space="0" w:color="000000"/>
              <w:left w:val="single" w:sz="4" w:space="0" w:color="000000"/>
              <w:bottom w:val="single" w:sz="4" w:space="0" w:color="000000"/>
              <w:right w:val="single" w:sz="4" w:space="0" w:color="000000"/>
            </w:tcBorders>
            <w:vAlign w:val="center"/>
          </w:tcPr>
          <w:p w14:paraId="1DB427D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360" w:type="dxa"/>
            <w:tcBorders>
              <w:top w:val="single" w:sz="4" w:space="0" w:color="000000"/>
              <w:left w:val="single" w:sz="4" w:space="0" w:color="000000"/>
              <w:bottom w:val="single" w:sz="4" w:space="0" w:color="000000"/>
              <w:right w:val="single" w:sz="4" w:space="0" w:color="000000"/>
            </w:tcBorders>
            <w:vAlign w:val="center"/>
          </w:tcPr>
          <w:p w14:paraId="23696CE7"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 5% 2</w:t>
            </w:r>
          </w:p>
        </w:tc>
        <w:tc>
          <w:tcPr>
            <w:tcW w:w="3320" w:type="dxa"/>
            <w:tcBorders>
              <w:top w:val="single" w:sz="4" w:space="0" w:color="000000"/>
              <w:left w:val="single" w:sz="4" w:space="0" w:color="000000"/>
              <w:bottom w:val="single" w:sz="4" w:space="0" w:color="000000"/>
              <w:right w:val="single" w:sz="4" w:space="0" w:color="000000"/>
            </w:tcBorders>
            <w:vAlign w:val="center"/>
          </w:tcPr>
          <w:p w14:paraId="1E838ED2"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hoàn nguyên có thể bảo quản ở nhiệt độ phòng trong 24h [2]</w:t>
            </w:r>
          </w:p>
        </w:tc>
      </w:tr>
      <w:tr w:rsidR="00AA344F" w:rsidRPr="00AA344F" w14:paraId="4E929551"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D2D6163" w14:textId="70CD404C"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23</w:t>
            </w:r>
          </w:p>
        </w:tc>
        <w:tc>
          <w:tcPr>
            <w:tcW w:w="1605" w:type="dxa"/>
            <w:tcBorders>
              <w:top w:val="single" w:sz="4" w:space="0" w:color="000000"/>
              <w:left w:val="single" w:sz="4" w:space="0" w:color="000000"/>
              <w:bottom w:val="single" w:sz="4" w:space="0" w:color="000000"/>
              <w:right w:val="single" w:sz="4" w:space="0" w:color="000000"/>
            </w:tcBorders>
            <w:vAlign w:val="center"/>
          </w:tcPr>
          <w:p w14:paraId="60FDE143"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Tobramycin ống dung dịch 40mg/ml</w:t>
            </w:r>
          </w:p>
        </w:tc>
        <w:tc>
          <w:tcPr>
            <w:tcW w:w="1583" w:type="dxa"/>
            <w:tcBorders>
              <w:top w:val="single" w:sz="4" w:space="0" w:color="000000"/>
              <w:left w:val="single" w:sz="4" w:space="0" w:color="000000"/>
              <w:bottom w:val="single" w:sz="4" w:space="0" w:color="000000"/>
              <w:right w:val="single" w:sz="4" w:space="0" w:color="000000"/>
            </w:tcBorders>
            <w:vAlign w:val="center"/>
          </w:tcPr>
          <w:p w14:paraId="06B7C06E"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Rút ra liều thích hợp</w:t>
            </w:r>
          </w:p>
        </w:tc>
        <w:tc>
          <w:tcPr>
            <w:tcW w:w="1598" w:type="dxa"/>
            <w:tcBorders>
              <w:top w:val="single" w:sz="4" w:space="0" w:color="000000"/>
              <w:left w:val="single" w:sz="4" w:space="0" w:color="000000"/>
              <w:bottom w:val="single" w:sz="4" w:space="0" w:color="000000"/>
              <w:right w:val="single" w:sz="4" w:space="0" w:color="000000"/>
            </w:tcBorders>
            <w:vAlign w:val="center"/>
          </w:tcPr>
          <w:p w14:paraId="525DDD7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76058C65"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3-5 phút [2]</w:t>
            </w:r>
          </w:p>
        </w:tc>
        <w:tc>
          <w:tcPr>
            <w:tcW w:w="2209" w:type="dxa"/>
            <w:tcBorders>
              <w:top w:val="single" w:sz="4" w:space="0" w:color="000000"/>
              <w:left w:val="single" w:sz="4" w:space="0" w:color="000000"/>
              <w:bottom w:val="single" w:sz="4" w:space="0" w:color="000000"/>
              <w:right w:val="single" w:sz="4" w:space="0" w:color="000000"/>
            </w:tcBorders>
            <w:vAlign w:val="center"/>
          </w:tcPr>
          <w:p w14:paraId="4DE7F60D"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Pha loãng: 50-100ml NaCl 0.9%, Glu 5% [2]</w:t>
            </w:r>
          </w:p>
        </w:tc>
        <w:tc>
          <w:tcPr>
            <w:tcW w:w="1440" w:type="dxa"/>
            <w:tcBorders>
              <w:top w:val="single" w:sz="4" w:space="0" w:color="000000"/>
              <w:left w:val="single" w:sz="4" w:space="0" w:color="000000"/>
              <w:bottom w:val="single" w:sz="4" w:space="0" w:color="000000"/>
              <w:right w:val="single" w:sz="4" w:space="0" w:color="000000"/>
            </w:tcBorders>
            <w:vAlign w:val="center"/>
          </w:tcPr>
          <w:p w14:paraId="56D7383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20-60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1993D073"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Glu-NaCl</w:t>
            </w:r>
          </w:p>
        </w:tc>
        <w:tc>
          <w:tcPr>
            <w:tcW w:w="3320" w:type="dxa"/>
            <w:tcBorders>
              <w:top w:val="single" w:sz="4" w:space="0" w:color="000000"/>
              <w:left w:val="single" w:sz="4" w:space="0" w:color="000000"/>
              <w:bottom w:val="single" w:sz="4" w:space="0" w:color="000000"/>
              <w:right w:val="single" w:sz="4" w:space="0" w:color="000000"/>
            </w:tcBorders>
            <w:vAlign w:val="center"/>
          </w:tcPr>
          <w:p w14:paraId="56B09009"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Dùng ngay sau khi mở, có thể bảo quản ở 2-8</w:t>
            </w:r>
            <w:r w:rsidRPr="00AA344F">
              <w:rPr>
                <w:color w:val="000000" w:themeColor="text1"/>
                <w:sz w:val="22"/>
                <w:szCs w:val="22"/>
                <w:vertAlign w:val="superscript"/>
              </w:rPr>
              <w:t>o</w:t>
            </w:r>
            <w:r w:rsidRPr="00AA344F">
              <w:rPr>
                <w:color w:val="000000" w:themeColor="text1"/>
                <w:sz w:val="22"/>
                <w:szCs w:val="22"/>
              </w:rPr>
              <w:t>C trong 24h [2]</w:t>
            </w:r>
          </w:p>
        </w:tc>
      </w:tr>
      <w:tr w:rsidR="00AA344F" w:rsidRPr="00AA344F" w14:paraId="3B8C21D0"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68771B6A" w14:textId="0D2896D8" w:rsidR="004C6851" w:rsidRPr="00AA344F" w:rsidRDefault="006248D7"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lastRenderedPageBreak/>
              <w:t>24</w:t>
            </w:r>
          </w:p>
        </w:tc>
        <w:tc>
          <w:tcPr>
            <w:tcW w:w="1605" w:type="dxa"/>
            <w:tcBorders>
              <w:top w:val="single" w:sz="4" w:space="0" w:color="000000"/>
              <w:left w:val="single" w:sz="4" w:space="0" w:color="000000"/>
              <w:bottom w:val="single" w:sz="4" w:space="0" w:color="000000"/>
              <w:right w:val="single" w:sz="4" w:space="0" w:color="000000"/>
            </w:tcBorders>
            <w:vAlign w:val="center"/>
          </w:tcPr>
          <w:p w14:paraId="3C63AD4A"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Ticarcillin clavulanat bột pha tiêm 3.1g</w:t>
            </w:r>
          </w:p>
        </w:tc>
        <w:tc>
          <w:tcPr>
            <w:tcW w:w="1583" w:type="dxa"/>
            <w:tcBorders>
              <w:top w:val="single" w:sz="4" w:space="0" w:color="000000"/>
              <w:left w:val="single" w:sz="4" w:space="0" w:color="000000"/>
              <w:bottom w:val="single" w:sz="4" w:space="0" w:color="000000"/>
              <w:right w:val="single" w:sz="4" w:space="0" w:color="000000"/>
            </w:tcBorders>
            <w:vAlign w:val="center"/>
          </w:tcPr>
          <w:p w14:paraId="56FBCC6B"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1598" w:type="dxa"/>
            <w:tcBorders>
              <w:top w:val="single" w:sz="4" w:space="0" w:color="000000"/>
              <w:left w:val="single" w:sz="4" w:space="0" w:color="000000"/>
              <w:bottom w:val="single" w:sz="4" w:space="0" w:color="000000"/>
              <w:right w:val="single" w:sz="4" w:space="0" w:color="000000"/>
            </w:tcBorders>
            <w:vAlign w:val="center"/>
          </w:tcPr>
          <w:p w14:paraId="14DE0B3A"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25616832"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24E6FB8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Hòa tan: 13ml NCPT hoặc NaCl 0.9% Pha loãng: đến nồng độ Ticarcillin 10- 100mg/ml trong dung môi tương hợp</w:t>
            </w:r>
          </w:p>
        </w:tc>
        <w:tc>
          <w:tcPr>
            <w:tcW w:w="1440" w:type="dxa"/>
            <w:tcBorders>
              <w:top w:val="single" w:sz="4" w:space="0" w:color="000000"/>
              <w:left w:val="single" w:sz="4" w:space="0" w:color="000000"/>
              <w:bottom w:val="single" w:sz="4" w:space="0" w:color="000000"/>
              <w:right w:val="single" w:sz="4" w:space="0" w:color="000000"/>
            </w:tcBorders>
            <w:vAlign w:val="center"/>
          </w:tcPr>
          <w:p w14:paraId="4C4BB704"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≥30 phút</w:t>
            </w:r>
          </w:p>
        </w:tc>
        <w:tc>
          <w:tcPr>
            <w:tcW w:w="1360" w:type="dxa"/>
            <w:tcBorders>
              <w:top w:val="single" w:sz="4" w:space="0" w:color="000000"/>
              <w:left w:val="single" w:sz="4" w:space="0" w:color="000000"/>
              <w:bottom w:val="single" w:sz="4" w:space="0" w:color="000000"/>
              <w:right w:val="single" w:sz="4" w:space="0" w:color="000000"/>
            </w:tcBorders>
            <w:vAlign w:val="center"/>
          </w:tcPr>
          <w:p w14:paraId="0FB8F9E9" w14:textId="77777777" w:rsidR="004C6851" w:rsidRPr="00AA344F" w:rsidRDefault="004C6851" w:rsidP="004C6851">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Glu 5%, NaCl 0.9% [2]</w:t>
            </w:r>
          </w:p>
        </w:tc>
        <w:tc>
          <w:tcPr>
            <w:tcW w:w="3320" w:type="dxa"/>
            <w:tcBorders>
              <w:top w:val="single" w:sz="4" w:space="0" w:color="000000"/>
              <w:left w:val="single" w:sz="4" w:space="0" w:color="000000"/>
              <w:bottom w:val="single" w:sz="4" w:space="0" w:color="000000"/>
              <w:right w:val="single" w:sz="4" w:space="0" w:color="000000"/>
            </w:tcBorders>
            <w:vAlign w:val="center"/>
          </w:tcPr>
          <w:p w14:paraId="465810DF" w14:textId="77777777" w:rsidR="004C6851" w:rsidRPr="00AA344F" w:rsidRDefault="004C6851" w:rsidP="004C6851">
            <w:pPr>
              <w:autoSpaceDE w:val="0"/>
              <w:autoSpaceDN w:val="0"/>
              <w:adjustRightInd w:val="0"/>
              <w:spacing w:after="0" w:line="240" w:lineRule="auto"/>
              <w:rPr>
                <w:color w:val="000000" w:themeColor="text1"/>
                <w:sz w:val="22"/>
                <w:szCs w:val="22"/>
              </w:rPr>
            </w:pPr>
            <w:r w:rsidRPr="00AA344F">
              <w:rPr>
                <w:color w:val="000000" w:themeColor="text1"/>
                <w:sz w:val="22"/>
                <w:szCs w:val="22"/>
              </w:rPr>
              <w:t>Dung dịch hoàn nguyên ổn định ở nhiệt độ phòng trong 6h và ở 4</w:t>
            </w:r>
            <w:r w:rsidRPr="00AA344F">
              <w:rPr>
                <w:color w:val="000000" w:themeColor="text1"/>
                <w:sz w:val="22"/>
                <w:szCs w:val="22"/>
                <w:vertAlign w:val="superscript"/>
              </w:rPr>
              <w:t>o</w:t>
            </w:r>
            <w:r w:rsidRPr="00AA344F">
              <w:rPr>
                <w:color w:val="000000" w:themeColor="text1"/>
                <w:sz w:val="22"/>
                <w:szCs w:val="22"/>
              </w:rPr>
              <w:t>C trong 72 giờ</w:t>
            </w:r>
          </w:p>
        </w:tc>
      </w:tr>
      <w:tr w:rsidR="00AA344F" w:rsidRPr="00AA344F" w14:paraId="0858868A"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38CB8607" w14:textId="692F8EBE" w:rsidR="003544C8" w:rsidRPr="00AA344F" w:rsidRDefault="006248D7"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25</w:t>
            </w:r>
          </w:p>
        </w:tc>
        <w:tc>
          <w:tcPr>
            <w:tcW w:w="1605" w:type="dxa"/>
            <w:tcBorders>
              <w:top w:val="single" w:sz="4" w:space="0" w:color="000000"/>
              <w:left w:val="single" w:sz="4" w:space="0" w:color="000000"/>
              <w:bottom w:val="single" w:sz="4" w:space="0" w:color="000000"/>
              <w:right w:val="single" w:sz="4" w:space="0" w:color="000000"/>
            </w:tcBorders>
            <w:vAlign w:val="center"/>
          </w:tcPr>
          <w:p w14:paraId="72E19DE5" w14:textId="77777777" w:rsidR="003544C8" w:rsidRPr="00AA344F" w:rsidRDefault="003544C8" w:rsidP="003544C8">
            <w:pPr>
              <w:autoSpaceDE w:val="0"/>
              <w:autoSpaceDN w:val="0"/>
              <w:adjustRightInd w:val="0"/>
              <w:spacing w:after="0" w:line="240" w:lineRule="auto"/>
              <w:rPr>
                <w:color w:val="000000" w:themeColor="text1"/>
                <w:sz w:val="22"/>
                <w:szCs w:val="22"/>
              </w:rPr>
            </w:pPr>
            <w:r w:rsidRPr="00AA344F">
              <w:rPr>
                <w:color w:val="000000" w:themeColor="text1"/>
                <w:sz w:val="22"/>
                <w:szCs w:val="22"/>
              </w:rPr>
              <w:t>Cefoperazone</w:t>
            </w:r>
          </w:p>
        </w:tc>
        <w:tc>
          <w:tcPr>
            <w:tcW w:w="1583" w:type="dxa"/>
            <w:tcBorders>
              <w:top w:val="single" w:sz="4" w:space="0" w:color="000000"/>
              <w:left w:val="single" w:sz="4" w:space="0" w:color="000000"/>
              <w:bottom w:val="single" w:sz="4" w:space="0" w:color="000000"/>
              <w:right w:val="single" w:sz="4" w:space="0" w:color="000000"/>
            </w:tcBorders>
            <w:vAlign w:val="center"/>
          </w:tcPr>
          <w:p w14:paraId="547354D9"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tiêm bắp sâu [3]</w:t>
            </w:r>
          </w:p>
        </w:tc>
        <w:tc>
          <w:tcPr>
            <w:tcW w:w="1598" w:type="dxa"/>
            <w:tcBorders>
              <w:top w:val="single" w:sz="4" w:space="0" w:color="000000"/>
              <w:left w:val="single" w:sz="4" w:space="0" w:color="000000"/>
              <w:bottom w:val="single" w:sz="4" w:space="0" w:color="000000"/>
              <w:right w:val="single" w:sz="4" w:space="0" w:color="000000"/>
            </w:tcBorders>
            <w:vAlign w:val="center"/>
          </w:tcPr>
          <w:p w14:paraId="678AF002"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982" w:type="dxa"/>
            <w:tcBorders>
              <w:top w:val="single" w:sz="4" w:space="0" w:color="000000"/>
              <w:left w:val="single" w:sz="4" w:space="0" w:color="000000"/>
              <w:bottom w:val="single" w:sz="4" w:space="0" w:color="000000"/>
              <w:right w:val="single" w:sz="4" w:space="0" w:color="000000"/>
            </w:tcBorders>
            <w:vAlign w:val="center"/>
          </w:tcPr>
          <w:p w14:paraId="58265B23"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x</w:t>
            </w:r>
          </w:p>
        </w:tc>
        <w:tc>
          <w:tcPr>
            <w:tcW w:w="2209" w:type="dxa"/>
            <w:tcBorders>
              <w:top w:val="single" w:sz="4" w:space="0" w:color="000000"/>
              <w:left w:val="single" w:sz="4" w:space="0" w:color="000000"/>
              <w:bottom w:val="single" w:sz="4" w:space="0" w:color="000000"/>
              <w:right w:val="single" w:sz="4" w:space="0" w:color="000000"/>
            </w:tcBorders>
            <w:vAlign w:val="center"/>
          </w:tcPr>
          <w:p w14:paraId="52832275"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BCDCD0E"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Truyền tĩnh mạch gián đoạn khoảng 15-30 phút, hoặc liên tục [3]</w:t>
            </w:r>
          </w:p>
        </w:tc>
        <w:tc>
          <w:tcPr>
            <w:tcW w:w="1360" w:type="dxa"/>
            <w:tcBorders>
              <w:top w:val="single" w:sz="4" w:space="0" w:color="000000"/>
              <w:left w:val="single" w:sz="4" w:space="0" w:color="000000"/>
              <w:bottom w:val="single" w:sz="4" w:space="0" w:color="000000"/>
              <w:right w:val="single" w:sz="4" w:space="0" w:color="000000"/>
            </w:tcBorders>
            <w:vAlign w:val="center"/>
          </w:tcPr>
          <w:p w14:paraId="714050CC"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NaCl 0,9%, Glu 5%, Ringer lactate</w:t>
            </w:r>
          </w:p>
        </w:tc>
        <w:tc>
          <w:tcPr>
            <w:tcW w:w="3320" w:type="dxa"/>
            <w:tcBorders>
              <w:top w:val="single" w:sz="4" w:space="0" w:color="000000"/>
              <w:left w:val="single" w:sz="4" w:space="0" w:color="000000"/>
              <w:bottom w:val="single" w:sz="4" w:space="0" w:color="000000"/>
              <w:right w:val="single" w:sz="4" w:space="0" w:color="000000"/>
            </w:tcBorders>
            <w:vAlign w:val="center"/>
          </w:tcPr>
          <w:p w14:paraId="4B68A396" w14:textId="77777777" w:rsidR="003544C8" w:rsidRPr="00AA344F" w:rsidRDefault="003544C8" w:rsidP="003544C8">
            <w:pPr>
              <w:autoSpaceDE w:val="0"/>
              <w:autoSpaceDN w:val="0"/>
              <w:adjustRightInd w:val="0"/>
              <w:spacing w:after="0" w:line="240" w:lineRule="auto"/>
              <w:rPr>
                <w:color w:val="000000" w:themeColor="text1"/>
                <w:sz w:val="22"/>
                <w:szCs w:val="22"/>
              </w:rPr>
            </w:pPr>
            <w:r w:rsidRPr="00AA344F">
              <w:rPr>
                <w:color w:val="000000" w:themeColor="text1"/>
                <w:sz w:val="22"/>
                <w:szCs w:val="22"/>
              </w:rPr>
              <w:t>Khi nồng độ hòa tan vượt quá 333mg/ml, cần lắc mạnh và lâu. Dung dịch đã pha ổn định trong 24h ở nhiệt độ phòng và trong 5 ngày nếu bảo quản trong tủ lạnh [3]</w:t>
            </w:r>
          </w:p>
        </w:tc>
      </w:tr>
      <w:tr w:rsidR="00AA344F" w:rsidRPr="00AA344F" w14:paraId="13198E0C" w14:textId="77777777" w:rsidTr="00147A35">
        <w:tc>
          <w:tcPr>
            <w:tcW w:w="483" w:type="dxa"/>
            <w:tcBorders>
              <w:top w:val="single" w:sz="4" w:space="0" w:color="000000"/>
              <w:left w:val="single" w:sz="4" w:space="0" w:color="000000"/>
              <w:bottom w:val="single" w:sz="4" w:space="0" w:color="000000"/>
              <w:right w:val="single" w:sz="4" w:space="0" w:color="000000"/>
            </w:tcBorders>
            <w:vAlign w:val="center"/>
          </w:tcPr>
          <w:p w14:paraId="472E15D4" w14:textId="60840AA7" w:rsidR="003544C8" w:rsidRPr="00AA344F" w:rsidRDefault="006248D7"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26</w:t>
            </w:r>
          </w:p>
        </w:tc>
        <w:tc>
          <w:tcPr>
            <w:tcW w:w="1605" w:type="dxa"/>
            <w:tcBorders>
              <w:top w:val="single" w:sz="4" w:space="0" w:color="000000"/>
              <w:left w:val="single" w:sz="4" w:space="0" w:color="000000"/>
              <w:bottom w:val="single" w:sz="4" w:space="0" w:color="000000"/>
              <w:right w:val="single" w:sz="4" w:space="0" w:color="000000"/>
            </w:tcBorders>
            <w:vAlign w:val="center"/>
          </w:tcPr>
          <w:p w14:paraId="4E083A9C" w14:textId="77777777" w:rsidR="003544C8" w:rsidRPr="00AA344F" w:rsidRDefault="003544C8" w:rsidP="003544C8">
            <w:pPr>
              <w:autoSpaceDE w:val="0"/>
              <w:autoSpaceDN w:val="0"/>
              <w:adjustRightInd w:val="0"/>
              <w:spacing w:after="0" w:line="240" w:lineRule="auto"/>
              <w:rPr>
                <w:color w:val="000000" w:themeColor="text1"/>
                <w:sz w:val="22"/>
                <w:szCs w:val="22"/>
              </w:rPr>
            </w:pPr>
            <w:r w:rsidRPr="00AA344F">
              <w:rPr>
                <w:color w:val="000000" w:themeColor="text1"/>
                <w:sz w:val="22"/>
                <w:szCs w:val="22"/>
              </w:rPr>
              <w:t>Cefamandole Sodium</w:t>
            </w:r>
          </w:p>
        </w:tc>
        <w:tc>
          <w:tcPr>
            <w:tcW w:w="1583" w:type="dxa"/>
            <w:tcBorders>
              <w:top w:val="single" w:sz="4" w:space="0" w:color="000000"/>
              <w:left w:val="single" w:sz="4" w:space="0" w:color="000000"/>
              <w:bottom w:val="single" w:sz="4" w:space="0" w:color="000000"/>
              <w:right w:val="single" w:sz="4" w:space="0" w:color="000000"/>
            </w:tcBorders>
            <w:vAlign w:val="center"/>
          </w:tcPr>
          <w:p w14:paraId="2CBD4F49"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tiêm bắp sâu [3]</w:t>
            </w:r>
          </w:p>
        </w:tc>
        <w:tc>
          <w:tcPr>
            <w:tcW w:w="1598" w:type="dxa"/>
            <w:tcBorders>
              <w:top w:val="single" w:sz="4" w:space="0" w:color="000000"/>
              <w:left w:val="single" w:sz="4" w:space="0" w:color="000000"/>
              <w:bottom w:val="single" w:sz="4" w:space="0" w:color="000000"/>
              <w:right w:val="single" w:sz="4" w:space="0" w:color="000000"/>
            </w:tcBorders>
            <w:vAlign w:val="center"/>
          </w:tcPr>
          <w:p w14:paraId="75976A79"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p>
        </w:tc>
        <w:tc>
          <w:tcPr>
            <w:tcW w:w="982" w:type="dxa"/>
            <w:tcBorders>
              <w:top w:val="single" w:sz="4" w:space="0" w:color="000000"/>
              <w:left w:val="single" w:sz="4" w:space="0" w:color="000000"/>
              <w:bottom w:val="single" w:sz="4" w:space="0" w:color="000000"/>
              <w:right w:val="single" w:sz="4" w:space="0" w:color="000000"/>
            </w:tcBorders>
            <w:vAlign w:val="center"/>
          </w:tcPr>
          <w:p w14:paraId="4CDCA4AF"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p>
        </w:tc>
        <w:tc>
          <w:tcPr>
            <w:tcW w:w="2209" w:type="dxa"/>
            <w:tcBorders>
              <w:top w:val="single" w:sz="4" w:space="0" w:color="000000"/>
              <w:left w:val="single" w:sz="4" w:space="0" w:color="000000"/>
              <w:bottom w:val="single" w:sz="4" w:space="0" w:color="000000"/>
              <w:right w:val="single" w:sz="4" w:space="0" w:color="000000"/>
            </w:tcBorders>
            <w:vAlign w:val="center"/>
          </w:tcPr>
          <w:p w14:paraId="47A6A9D0"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FCD5B0A"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r w:rsidRPr="00AA344F">
              <w:rPr>
                <w:color w:val="000000" w:themeColor="text1"/>
                <w:sz w:val="22"/>
                <w:szCs w:val="22"/>
              </w:rPr>
              <w:t>Truyền tĩnh mạch liên tục hoặc gián đoạn</w:t>
            </w:r>
          </w:p>
        </w:tc>
        <w:tc>
          <w:tcPr>
            <w:tcW w:w="1360" w:type="dxa"/>
            <w:tcBorders>
              <w:top w:val="single" w:sz="4" w:space="0" w:color="000000"/>
              <w:left w:val="single" w:sz="4" w:space="0" w:color="000000"/>
              <w:bottom w:val="single" w:sz="4" w:space="0" w:color="000000"/>
              <w:right w:val="single" w:sz="4" w:space="0" w:color="000000"/>
            </w:tcBorders>
            <w:vAlign w:val="center"/>
          </w:tcPr>
          <w:p w14:paraId="642A7D9A" w14:textId="77777777" w:rsidR="003544C8" w:rsidRPr="00AA344F" w:rsidRDefault="003544C8" w:rsidP="003544C8">
            <w:pPr>
              <w:autoSpaceDE w:val="0"/>
              <w:autoSpaceDN w:val="0"/>
              <w:adjustRightInd w:val="0"/>
              <w:spacing w:after="0" w:line="240" w:lineRule="auto"/>
              <w:jc w:val="center"/>
              <w:rPr>
                <w:color w:val="000000" w:themeColor="text1"/>
                <w:sz w:val="22"/>
                <w:szCs w:val="22"/>
              </w:rPr>
            </w:pPr>
          </w:p>
        </w:tc>
        <w:tc>
          <w:tcPr>
            <w:tcW w:w="3320" w:type="dxa"/>
            <w:tcBorders>
              <w:top w:val="single" w:sz="4" w:space="0" w:color="000000"/>
              <w:left w:val="single" w:sz="4" w:space="0" w:color="000000"/>
              <w:bottom w:val="single" w:sz="4" w:space="0" w:color="000000"/>
              <w:right w:val="single" w:sz="4" w:space="0" w:color="000000"/>
            </w:tcBorders>
            <w:vAlign w:val="center"/>
          </w:tcPr>
          <w:p w14:paraId="4D215729" w14:textId="77777777" w:rsidR="003544C8" w:rsidRPr="00AA344F" w:rsidRDefault="003544C8" w:rsidP="003544C8">
            <w:pPr>
              <w:autoSpaceDE w:val="0"/>
              <w:autoSpaceDN w:val="0"/>
              <w:adjustRightInd w:val="0"/>
              <w:spacing w:after="0" w:line="240" w:lineRule="auto"/>
              <w:rPr>
                <w:color w:val="000000" w:themeColor="text1"/>
                <w:sz w:val="22"/>
                <w:szCs w:val="22"/>
              </w:rPr>
            </w:pPr>
            <w:r w:rsidRPr="00AA344F">
              <w:rPr>
                <w:color w:val="000000" w:themeColor="text1"/>
                <w:sz w:val="22"/>
                <w:szCs w:val="22"/>
              </w:rPr>
              <w:t>Ở các nồng độ 2mg hay 20mg/ml, cefamandol ổn định về mặt vật lý trong 24h ở nhiệt độ phòng hoặc 96h ở 5°C trong dung dịch vô khuẩn [3]</w:t>
            </w:r>
          </w:p>
        </w:tc>
      </w:tr>
    </w:tbl>
    <w:p w14:paraId="566B2724"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b/>
          <w:bCs/>
          <w:color w:val="000000" w:themeColor="text1"/>
          <w:sz w:val="20"/>
          <w:szCs w:val="20"/>
        </w:rPr>
        <w:t>Tài liệu tham khảo:</w:t>
      </w:r>
    </w:p>
    <w:p w14:paraId="67C9868A"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 xml:space="preserve">[1] Handbook on injectable drugs; </w:t>
      </w:r>
    </w:p>
    <w:p w14:paraId="393B3CA4"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[2] Injectable drugs guide</w:t>
      </w:r>
    </w:p>
    <w:p w14:paraId="3092379F"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[3] Dược thư quốc gia</w:t>
      </w:r>
    </w:p>
    <w:p w14:paraId="746C92A5"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[4] Micromedex</w:t>
      </w:r>
    </w:p>
    <w:p w14:paraId="0442B383" w14:textId="77777777" w:rsidR="008E2408" w:rsidRPr="00AA344F" w:rsidRDefault="008E2408" w:rsidP="003544C8">
      <w:pPr>
        <w:autoSpaceDE w:val="0"/>
        <w:autoSpaceDN w:val="0"/>
        <w:adjustRightInd w:val="0"/>
        <w:spacing w:after="0" w:line="360" w:lineRule="auto"/>
        <w:rPr>
          <w:color w:val="000000" w:themeColor="text1"/>
          <w:sz w:val="20"/>
          <w:szCs w:val="20"/>
        </w:rPr>
      </w:pPr>
      <w:r w:rsidRPr="00AA344F">
        <w:rPr>
          <w:b/>
          <w:bCs/>
          <w:color w:val="000000" w:themeColor="text1"/>
          <w:sz w:val="20"/>
          <w:szCs w:val="20"/>
        </w:rPr>
        <w:t>Chú thích:</w:t>
      </w:r>
    </w:p>
    <w:p w14:paraId="0DED6DE7" w14:textId="54411815" w:rsidR="008E2408" w:rsidRPr="00AA344F" w:rsidRDefault="006248D7"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w:t>
      </w:r>
      <w:r w:rsidR="008E2408" w:rsidRPr="00AA344F">
        <w:rPr>
          <w:color w:val="000000" w:themeColor="text1"/>
          <w:sz w:val="20"/>
          <w:szCs w:val="20"/>
        </w:rPr>
        <w:t>X</w:t>
      </w:r>
      <w:r w:rsidRPr="00AA344F">
        <w:rPr>
          <w:color w:val="000000" w:themeColor="text1"/>
          <w:sz w:val="20"/>
          <w:szCs w:val="20"/>
        </w:rPr>
        <w:t>]</w:t>
      </w:r>
      <w:r w:rsidR="008E2408" w:rsidRPr="00AA344F">
        <w:rPr>
          <w:color w:val="000000" w:themeColor="text1"/>
          <w:sz w:val="20"/>
          <w:szCs w:val="20"/>
        </w:rPr>
        <w:t xml:space="preserve"> đường dùng không khuyến cáo sử dụng</w:t>
      </w:r>
    </w:p>
    <w:p w14:paraId="689DEB11" w14:textId="6E31C18A" w:rsidR="008E2408" w:rsidRPr="00AA344F" w:rsidRDefault="006248D7" w:rsidP="003544C8">
      <w:pPr>
        <w:autoSpaceDE w:val="0"/>
        <w:autoSpaceDN w:val="0"/>
        <w:adjustRightInd w:val="0"/>
        <w:spacing w:after="0" w:line="360" w:lineRule="auto"/>
        <w:rPr>
          <w:color w:val="000000" w:themeColor="text1"/>
          <w:sz w:val="20"/>
          <w:szCs w:val="20"/>
        </w:rPr>
      </w:pPr>
      <w:r w:rsidRPr="00AA344F">
        <w:rPr>
          <w:color w:val="000000" w:themeColor="text1"/>
          <w:sz w:val="20"/>
          <w:szCs w:val="20"/>
        </w:rPr>
        <w:t>[</w:t>
      </w:r>
      <w:r w:rsidR="008E2408" w:rsidRPr="00AA344F">
        <w:rPr>
          <w:color w:val="000000" w:themeColor="text1"/>
          <w:sz w:val="20"/>
          <w:szCs w:val="20"/>
        </w:rPr>
        <w:t>*</w:t>
      </w:r>
      <w:r w:rsidRPr="00AA344F">
        <w:rPr>
          <w:color w:val="000000" w:themeColor="text1"/>
          <w:sz w:val="20"/>
          <w:szCs w:val="20"/>
        </w:rPr>
        <w:t>]</w:t>
      </w:r>
      <w:r w:rsidR="008E2408" w:rsidRPr="00AA344F">
        <w:rPr>
          <w:color w:val="000000" w:themeColor="text1"/>
          <w:sz w:val="20"/>
          <w:szCs w:val="20"/>
        </w:rPr>
        <w:t xml:space="preserve"> dùng trực tiếp</w:t>
      </w:r>
    </w:p>
    <w:p w14:paraId="40625FBC" w14:textId="77777777" w:rsidR="008E2408" w:rsidRPr="00AA344F" w:rsidRDefault="008E2408" w:rsidP="008E2408">
      <w:pPr>
        <w:tabs>
          <w:tab w:val="left" w:pos="3087"/>
        </w:tabs>
        <w:spacing w:before="120" w:after="0"/>
        <w:rPr>
          <w:color w:val="000000" w:themeColor="text1"/>
          <w:spacing w:val="-4"/>
          <w:sz w:val="26"/>
          <w:szCs w:val="26"/>
        </w:rPr>
      </w:pPr>
    </w:p>
    <w:sectPr w:rsidR="008E2408" w:rsidRPr="00AA344F" w:rsidSect="00C870F1">
      <w:pgSz w:w="16840" w:h="11910" w:orient="landscape" w:code="9"/>
      <w:pgMar w:top="993" w:right="1134" w:bottom="1134"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35826" w14:textId="77777777" w:rsidR="00AD4E88" w:rsidRDefault="00AD4E88" w:rsidP="003D338E">
      <w:pPr>
        <w:spacing w:after="0" w:line="240" w:lineRule="auto"/>
      </w:pPr>
      <w:r>
        <w:separator/>
      </w:r>
    </w:p>
  </w:endnote>
  <w:endnote w:type="continuationSeparator" w:id="0">
    <w:p w14:paraId="362108F5" w14:textId="77777777" w:rsidR="00AD4E88" w:rsidRDefault="00AD4E88" w:rsidP="003D3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DAF6D" w14:textId="40352470" w:rsidR="00AA344F" w:rsidRDefault="00AA344F">
    <w:pPr>
      <w:pStyle w:val="Footer"/>
      <w:pBdr>
        <w:top w:val="thinThickSmallGap" w:sz="24" w:space="1" w:color="224E76"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32AAA" w:rsidRPr="00332AA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D1807E5" w14:textId="77777777" w:rsidR="00AA344F" w:rsidRDefault="00AA3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74A3C" w14:textId="77777777" w:rsidR="00AD4E88" w:rsidRDefault="00AD4E88" w:rsidP="003D338E">
      <w:pPr>
        <w:spacing w:after="0" w:line="240" w:lineRule="auto"/>
      </w:pPr>
      <w:r>
        <w:separator/>
      </w:r>
    </w:p>
  </w:footnote>
  <w:footnote w:type="continuationSeparator" w:id="0">
    <w:p w14:paraId="49B94420" w14:textId="77777777" w:rsidR="00AD4E88" w:rsidRDefault="00AD4E88" w:rsidP="003D3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26"/>
        <w:szCs w:val="26"/>
      </w:rPr>
      <w:alias w:val="Title"/>
      <w:id w:val="77738743"/>
      <w:placeholder>
        <w:docPart w:val="DECF7DDD866F417A8B9ACE068C3A9751"/>
      </w:placeholder>
      <w:dataBinding w:prefixMappings="xmlns:ns0='http://schemas.openxmlformats.org/package/2006/metadata/core-properties' xmlns:ns1='http://purl.org/dc/elements/1.1/'" w:xpath="/ns0:coreProperties[1]/ns1:title[1]" w:storeItemID="{6C3C8BC8-F283-45AE-878A-BAB7291924A1}"/>
      <w:text/>
    </w:sdtPr>
    <w:sdtContent>
      <w:p w14:paraId="60561382" w14:textId="4F3FF9FE" w:rsidR="00AA344F" w:rsidRPr="008E6843" w:rsidRDefault="00AA344F" w:rsidP="008E6843">
        <w:pPr>
          <w:pStyle w:val="Header"/>
          <w:pBdr>
            <w:bottom w:val="thickThinSmallGap" w:sz="24" w:space="1" w:color="224E76" w:themeColor="accent2" w:themeShade="7F"/>
          </w:pBdr>
          <w:ind w:left="-851" w:firstLine="851"/>
          <w:jc w:val="center"/>
          <w:rPr>
            <w:rFonts w:eastAsiaTheme="majorEastAsia"/>
            <w:sz w:val="26"/>
            <w:szCs w:val="26"/>
          </w:rPr>
        </w:pPr>
        <w:r w:rsidRPr="008E6843">
          <w:rPr>
            <w:rFonts w:eastAsiaTheme="majorEastAsia"/>
            <w:sz w:val="26"/>
            <w:szCs w:val="26"/>
          </w:rPr>
          <w:t>Bệnh viện đa khoa huyện Thủy Nguyên</w:t>
        </w:r>
        <w:r w:rsidRPr="008E6843">
          <w:rPr>
            <w:rFonts w:eastAsiaTheme="majorEastAsia"/>
            <w:sz w:val="26"/>
            <w:szCs w:val="26"/>
          </w:rPr>
          <w:tab/>
          <w:t xml:space="preserve">                    Tài liệu Thông tin thuốc - Số</w:t>
        </w:r>
        <w:r>
          <w:rPr>
            <w:rFonts w:eastAsiaTheme="majorEastAsia"/>
            <w:sz w:val="26"/>
            <w:szCs w:val="26"/>
          </w:rPr>
          <w:t xml:space="preserve"> 1/2022</w:t>
        </w:r>
      </w:p>
    </w:sdtContent>
  </w:sdt>
  <w:p w14:paraId="0B2B9ACE" w14:textId="77777777" w:rsidR="00AA344F" w:rsidRDefault="00AA3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1B58"/>
    <w:multiLevelType w:val="hybridMultilevel"/>
    <w:tmpl w:val="4508972C"/>
    <w:lvl w:ilvl="0" w:tplc="3970E44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7B731A7"/>
    <w:multiLevelType w:val="hybridMultilevel"/>
    <w:tmpl w:val="94C60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8311D"/>
    <w:multiLevelType w:val="hybridMultilevel"/>
    <w:tmpl w:val="DC1805DE"/>
    <w:lvl w:ilvl="0" w:tplc="3970E4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A5037"/>
    <w:multiLevelType w:val="hybridMultilevel"/>
    <w:tmpl w:val="610C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914CA"/>
    <w:multiLevelType w:val="hybridMultilevel"/>
    <w:tmpl w:val="74CACDB4"/>
    <w:lvl w:ilvl="0" w:tplc="3970E444">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6FE0F8C"/>
    <w:multiLevelType w:val="hybridMultilevel"/>
    <w:tmpl w:val="797CED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9493B"/>
    <w:multiLevelType w:val="hybridMultilevel"/>
    <w:tmpl w:val="F3269DC0"/>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A45267"/>
    <w:multiLevelType w:val="multilevel"/>
    <w:tmpl w:val="E4B0E99C"/>
    <w:lvl w:ilvl="0">
      <w:start w:val="1"/>
      <w:numFmt w:val="upperRoman"/>
      <w:suff w:val="space"/>
      <w:lvlText w:val="%1."/>
      <w:lvlJc w:val="left"/>
      <w:pPr>
        <w:ind w:left="57" w:firstLine="0"/>
      </w:pPr>
      <w:rPr>
        <w:rFonts w:hint="default"/>
      </w:rPr>
    </w:lvl>
    <w:lvl w:ilvl="1">
      <w:start w:val="4"/>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8">
    <w:nsid w:val="2F4E7F6A"/>
    <w:multiLevelType w:val="hybridMultilevel"/>
    <w:tmpl w:val="80ACD860"/>
    <w:lvl w:ilvl="0" w:tplc="A55E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960B14"/>
    <w:multiLevelType w:val="hybridMultilevel"/>
    <w:tmpl w:val="80ACD860"/>
    <w:lvl w:ilvl="0" w:tplc="A55E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53CE9"/>
    <w:multiLevelType w:val="hybridMultilevel"/>
    <w:tmpl w:val="DF7E7542"/>
    <w:lvl w:ilvl="0" w:tplc="3970E444">
      <w:start w:val="1"/>
      <w:numFmt w:val="bullet"/>
      <w:lvlText w:val="-"/>
      <w:lvlJc w:val="left"/>
      <w:pPr>
        <w:ind w:left="1287" w:hanging="360"/>
      </w:pPr>
      <w:rPr>
        <w:rFonts w:ascii="Times New Roman" w:eastAsiaTheme="minorHAnsi"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1">
    <w:nsid w:val="3C8742F0"/>
    <w:multiLevelType w:val="hybridMultilevel"/>
    <w:tmpl w:val="83E6B042"/>
    <w:lvl w:ilvl="0" w:tplc="A55E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160F0"/>
    <w:multiLevelType w:val="hybridMultilevel"/>
    <w:tmpl w:val="D14E5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37309"/>
    <w:multiLevelType w:val="hybridMultilevel"/>
    <w:tmpl w:val="DA86F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717882"/>
    <w:multiLevelType w:val="hybridMultilevel"/>
    <w:tmpl w:val="BCC6690A"/>
    <w:lvl w:ilvl="0" w:tplc="927E57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8E1BF6"/>
    <w:multiLevelType w:val="hybridMultilevel"/>
    <w:tmpl w:val="0BECB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F061A9"/>
    <w:multiLevelType w:val="multilevel"/>
    <w:tmpl w:val="5798F48A"/>
    <w:lvl w:ilvl="0">
      <w:start w:val="3"/>
      <w:numFmt w:val="upperRoman"/>
      <w:lvlText w:val="%1."/>
      <w:lvlJc w:val="left"/>
      <w:pPr>
        <w:ind w:left="777" w:hanging="720"/>
      </w:pPr>
      <w:rPr>
        <w:rFonts w:hint="default"/>
      </w:rPr>
    </w:lvl>
    <w:lvl w:ilvl="1">
      <w:start w:val="1"/>
      <w:numFmt w:val="decimal"/>
      <w:isLgl/>
      <w:lvlText w:val="%1.%2."/>
      <w:lvlJc w:val="left"/>
      <w:pPr>
        <w:ind w:left="777"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17">
    <w:nsid w:val="523E5207"/>
    <w:multiLevelType w:val="hybridMultilevel"/>
    <w:tmpl w:val="3B7EE4AA"/>
    <w:lvl w:ilvl="0" w:tplc="3970E444">
      <w:start w:val="1"/>
      <w:numFmt w:val="bullet"/>
      <w:lvlText w:val="-"/>
      <w:lvlJc w:val="left"/>
      <w:pPr>
        <w:ind w:left="720" w:hanging="360"/>
      </w:pPr>
      <w:rPr>
        <w:rFonts w:ascii="Times New Roman" w:eastAsiaTheme="minorHAnsi" w:hAnsi="Times New Roman" w:cs="Times New Roman" w:hint="default"/>
      </w:rPr>
    </w:lvl>
    <w:lvl w:ilvl="1" w:tplc="3970E444">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A2A31"/>
    <w:multiLevelType w:val="hybridMultilevel"/>
    <w:tmpl w:val="6D48CB12"/>
    <w:lvl w:ilvl="0" w:tplc="3970E4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4E11DF"/>
    <w:multiLevelType w:val="hybridMultilevel"/>
    <w:tmpl w:val="6D304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605FB3"/>
    <w:multiLevelType w:val="hybridMultilevel"/>
    <w:tmpl w:val="2D80D96A"/>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3DC43E8"/>
    <w:multiLevelType w:val="hybridMultilevel"/>
    <w:tmpl w:val="DC0424C2"/>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nsid w:val="691E005F"/>
    <w:multiLevelType w:val="hybridMultilevel"/>
    <w:tmpl w:val="34F27330"/>
    <w:lvl w:ilvl="0" w:tplc="3970E4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6F1D7D"/>
    <w:multiLevelType w:val="hybridMultilevel"/>
    <w:tmpl w:val="0E4A72E4"/>
    <w:lvl w:ilvl="0" w:tplc="E3F49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4BC167D"/>
    <w:multiLevelType w:val="hybridMultilevel"/>
    <w:tmpl w:val="FF4A6532"/>
    <w:lvl w:ilvl="0" w:tplc="042A0009">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nsid w:val="75087CEE"/>
    <w:multiLevelType w:val="hybridMultilevel"/>
    <w:tmpl w:val="FDE60FDC"/>
    <w:lvl w:ilvl="0" w:tplc="A55E7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9"/>
  </w:num>
  <w:num w:numId="3">
    <w:abstractNumId w:val="13"/>
  </w:num>
  <w:num w:numId="4">
    <w:abstractNumId w:val="11"/>
  </w:num>
  <w:num w:numId="5">
    <w:abstractNumId w:val="12"/>
  </w:num>
  <w:num w:numId="6">
    <w:abstractNumId w:val="15"/>
  </w:num>
  <w:num w:numId="7">
    <w:abstractNumId w:val="23"/>
  </w:num>
  <w:num w:numId="8">
    <w:abstractNumId w:val="25"/>
  </w:num>
  <w:num w:numId="9">
    <w:abstractNumId w:val="9"/>
  </w:num>
  <w:num w:numId="10">
    <w:abstractNumId w:val="20"/>
  </w:num>
  <w:num w:numId="11">
    <w:abstractNumId w:val="1"/>
  </w:num>
  <w:num w:numId="12">
    <w:abstractNumId w:val="8"/>
  </w:num>
  <w:num w:numId="13">
    <w:abstractNumId w:val="10"/>
  </w:num>
  <w:num w:numId="14">
    <w:abstractNumId w:val="17"/>
  </w:num>
  <w:num w:numId="15">
    <w:abstractNumId w:val="2"/>
  </w:num>
  <w:num w:numId="16">
    <w:abstractNumId w:val="24"/>
  </w:num>
  <w:num w:numId="17">
    <w:abstractNumId w:val="22"/>
  </w:num>
  <w:num w:numId="18">
    <w:abstractNumId w:val="21"/>
  </w:num>
  <w:num w:numId="19">
    <w:abstractNumId w:val="0"/>
  </w:num>
  <w:num w:numId="20">
    <w:abstractNumId w:val="6"/>
  </w:num>
  <w:num w:numId="21">
    <w:abstractNumId w:val="18"/>
  </w:num>
  <w:num w:numId="22">
    <w:abstractNumId w:val="4"/>
  </w:num>
  <w:num w:numId="23">
    <w:abstractNumId w:val="14"/>
  </w:num>
  <w:num w:numId="24">
    <w:abstractNumId w:val="7"/>
  </w:num>
  <w:num w:numId="25">
    <w:abstractNumId w:val="16"/>
  </w:num>
  <w:num w:numId="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D5"/>
    <w:rsid w:val="00004A73"/>
    <w:rsid w:val="000074F8"/>
    <w:rsid w:val="000101AA"/>
    <w:rsid w:val="00010447"/>
    <w:rsid w:val="0001379B"/>
    <w:rsid w:val="00021FAD"/>
    <w:rsid w:val="00026149"/>
    <w:rsid w:val="00026B23"/>
    <w:rsid w:val="00031D6B"/>
    <w:rsid w:val="000350B2"/>
    <w:rsid w:val="000362B5"/>
    <w:rsid w:val="00037068"/>
    <w:rsid w:val="00037B92"/>
    <w:rsid w:val="000400A6"/>
    <w:rsid w:val="00041126"/>
    <w:rsid w:val="00042608"/>
    <w:rsid w:val="00043D13"/>
    <w:rsid w:val="0004771E"/>
    <w:rsid w:val="000477BF"/>
    <w:rsid w:val="000518E5"/>
    <w:rsid w:val="00053458"/>
    <w:rsid w:val="00055659"/>
    <w:rsid w:val="00055893"/>
    <w:rsid w:val="00056CEB"/>
    <w:rsid w:val="00062044"/>
    <w:rsid w:val="00067148"/>
    <w:rsid w:val="000676ED"/>
    <w:rsid w:val="00074C21"/>
    <w:rsid w:val="00081288"/>
    <w:rsid w:val="0008295C"/>
    <w:rsid w:val="00082E26"/>
    <w:rsid w:val="0008329F"/>
    <w:rsid w:val="00085AC9"/>
    <w:rsid w:val="000866AD"/>
    <w:rsid w:val="00090254"/>
    <w:rsid w:val="00092FA5"/>
    <w:rsid w:val="0009330E"/>
    <w:rsid w:val="000955C5"/>
    <w:rsid w:val="00095667"/>
    <w:rsid w:val="0009585A"/>
    <w:rsid w:val="000A11C5"/>
    <w:rsid w:val="000A23D6"/>
    <w:rsid w:val="000A2CD7"/>
    <w:rsid w:val="000A2D80"/>
    <w:rsid w:val="000A4810"/>
    <w:rsid w:val="000A5857"/>
    <w:rsid w:val="000A7B89"/>
    <w:rsid w:val="000B094D"/>
    <w:rsid w:val="000B1C5E"/>
    <w:rsid w:val="000B39C3"/>
    <w:rsid w:val="000B4FB4"/>
    <w:rsid w:val="000B5513"/>
    <w:rsid w:val="000B6E1B"/>
    <w:rsid w:val="000B727D"/>
    <w:rsid w:val="000C0D25"/>
    <w:rsid w:val="000C24D3"/>
    <w:rsid w:val="000C7D2F"/>
    <w:rsid w:val="000C7F07"/>
    <w:rsid w:val="000D3A25"/>
    <w:rsid w:val="000D3B46"/>
    <w:rsid w:val="000D3FEA"/>
    <w:rsid w:val="000D4055"/>
    <w:rsid w:val="000D4C63"/>
    <w:rsid w:val="000D5E84"/>
    <w:rsid w:val="000E11D4"/>
    <w:rsid w:val="000E239B"/>
    <w:rsid w:val="000E3345"/>
    <w:rsid w:val="000F3900"/>
    <w:rsid w:val="000F4709"/>
    <w:rsid w:val="000F65F0"/>
    <w:rsid w:val="001025DA"/>
    <w:rsid w:val="001056E7"/>
    <w:rsid w:val="00105760"/>
    <w:rsid w:val="0011138E"/>
    <w:rsid w:val="001115E0"/>
    <w:rsid w:val="00112EE1"/>
    <w:rsid w:val="00113CE4"/>
    <w:rsid w:val="001149A8"/>
    <w:rsid w:val="00125A26"/>
    <w:rsid w:val="00125EA5"/>
    <w:rsid w:val="0012611A"/>
    <w:rsid w:val="00126781"/>
    <w:rsid w:val="00126976"/>
    <w:rsid w:val="001273F8"/>
    <w:rsid w:val="00127F29"/>
    <w:rsid w:val="00130254"/>
    <w:rsid w:val="0013307F"/>
    <w:rsid w:val="0013456E"/>
    <w:rsid w:val="001368B3"/>
    <w:rsid w:val="00140A2B"/>
    <w:rsid w:val="00141DC5"/>
    <w:rsid w:val="00143B94"/>
    <w:rsid w:val="00147A35"/>
    <w:rsid w:val="0015462A"/>
    <w:rsid w:val="00154ECF"/>
    <w:rsid w:val="00161B2A"/>
    <w:rsid w:val="00162885"/>
    <w:rsid w:val="00163D7A"/>
    <w:rsid w:val="00164A76"/>
    <w:rsid w:val="00170845"/>
    <w:rsid w:val="00172EDB"/>
    <w:rsid w:val="001755B1"/>
    <w:rsid w:val="00175F11"/>
    <w:rsid w:val="001801BA"/>
    <w:rsid w:val="001845CF"/>
    <w:rsid w:val="00191851"/>
    <w:rsid w:val="00192778"/>
    <w:rsid w:val="001A1A0D"/>
    <w:rsid w:val="001B5D48"/>
    <w:rsid w:val="001C2657"/>
    <w:rsid w:val="001C587C"/>
    <w:rsid w:val="001C5F58"/>
    <w:rsid w:val="001D0372"/>
    <w:rsid w:val="001D3FD3"/>
    <w:rsid w:val="001D5562"/>
    <w:rsid w:val="001D577F"/>
    <w:rsid w:val="001E06C6"/>
    <w:rsid w:val="001E42C6"/>
    <w:rsid w:val="001E6274"/>
    <w:rsid w:val="001F23EB"/>
    <w:rsid w:val="001F2889"/>
    <w:rsid w:val="0020263A"/>
    <w:rsid w:val="00202CCB"/>
    <w:rsid w:val="00204F08"/>
    <w:rsid w:val="0021021A"/>
    <w:rsid w:val="00210385"/>
    <w:rsid w:val="0021236B"/>
    <w:rsid w:val="00215E4A"/>
    <w:rsid w:val="0021737A"/>
    <w:rsid w:val="002206BB"/>
    <w:rsid w:val="0023049D"/>
    <w:rsid w:val="002306D1"/>
    <w:rsid w:val="00234663"/>
    <w:rsid w:val="00235518"/>
    <w:rsid w:val="00245157"/>
    <w:rsid w:val="002457C4"/>
    <w:rsid w:val="00250A79"/>
    <w:rsid w:val="002512DF"/>
    <w:rsid w:val="00251324"/>
    <w:rsid w:val="00253119"/>
    <w:rsid w:val="00253E8B"/>
    <w:rsid w:val="0025411D"/>
    <w:rsid w:val="0025709B"/>
    <w:rsid w:val="0025763B"/>
    <w:rsid w:val="00262A14"/>
    <w:rsid w:val="002643E2"/>
    <w:rsid w:val="00267FDA"/>
    <w:rsid w:val="002722D4"/>
    <w:rsid w:val="00281D4C"/>
    <w:rsid w:val="002842A3"/>
    <w:rsid w:val="0028437B"/>
    <w:rsid w:val="00284BF2"/>
    <w:rsid w:val="00286B83"/>
    <w:rsid w:val="00286DC1"/>
    <w:rsid w:val="00286E82"/>
    <w:rsid w:val="002877E5"/>
    <w:rsid w:val="00287ABC"/>
    <w:rsid w:val="00291691"/>
    <w:rsid w:val="00293666"/>
    <w:rsid w:val="00294458"/>
    <w:rsid w:val="002949C1"/>
    <w:rsid w:val="00295F12"/>
    <w:rsid w:val="00297E9F"/>
    <w:rsid w:val="002A07C4"/>
    <w:rsid w:val="002A1EF2"/>
    <w:rsid w:val="002A3237"/>
    <w:rsid w:val="002A7585"/>
    <w:rsid w:val="002B0050"/>
    <w:rsid w:val="002B0B2F"/>
    <w:rsid w:val="002B761C"/>
    <w:rsid w:val="002C0D18"/>
    <w:rsid w:val="002C1D8B"/>
    <w:rsid w:val="002C2149"/>
    <w:rsid w:val="002C4203"/>
    <w:rsid w:val="002C7850"/>
    <w:rsid w:val="002D53B5"/>
    <w:rsid w:val="002D7308"/>
    <w:rsid w:val="002E086E"/>
    <w:rsid w:val="002E2A0D"/>
    <w:rsid w:val="002E33C4"/>
    <w:rsid w:val="002E4F91"/>
    <w:rsid w:val="002E5C3F"/>
    <w:rsid w:val="002E6433"/>
    <w:rsid w:val="002E6B5C"/>
    <w:rsid w:val="002E7D2C"/>
    <w:rsid w:val="002F3562"/>
    <w:rsid w:val="002F7AAD"/>
    <w:rsid w:val="00312021"/>
    <w:rsid w:val="003121B8"/>
    <w:rsid w:val="003126DF"/>
    <w:rsid w:val="003131F9"/>
    <w:rsid w:val="00314EE1"/>
    <w:rsid w:val="003159D1"/>
    <w:rsid w:val="00315D89"/>
    <w:rsid w:val="00320D3E"/>
    <w:rsid w:val="003218A7"/>
    <w:rsid w:val="00321E33"/>
    <w:rsid w:val="00321E8B"/>
    <w:rsid w:val="00323454"/>
    <w:rsid w:val="00323F60"/>
    <w:rsid w:val="00324D07"/>
    <w:rsid w:val="003318B2"/>
    <w:rsid w:val="00332AAA"/>
    <w:rsid w:val="00332FA7"/>
    <w:rsid w:val="00337E52"/>
    <w:rsid w:val="00340085"/>
    <w:rsid w:val="003422BE"/>
    <w:rsid w:val="00344BC5"/>
    <w:rsid w:val="0034556F"/>
    <w:rsid w:val="00346061"/>
    <w:rsid w:val="003464E3"/>
    <w:rsid w:val="00350AD5"/>
    <w:rsid w:val="00354336"/>
    <w:rsid w:val="003544C8"/>
    <w:rsid w:val="003557E2"/>
    <w:rsid w:val="003577BC"/>
    <w:rsid w:val="00362206"/>
    <w:rsid w:val="003628D7"/>
    <w:rsid w:val="003654EF"/>
    <w:rsid w:val="0037034D"/>
    <w:rsid w:val="00370962"/>
    <w:rsid w:val="003712C1"/>
    <w:rsid w:val="0037557E"/>
    <w:rsid w:val="003810D3"/>
    <w:rsid w:val="00381B13"/>
    <w:rsid w:val="00387138"/>
    <w:rsid w:val="00396353"/>
    <w:rsid w:val="003963CC"/>
    <w:rsid w:val="003970A0"/>
    <w:rsid w:val="003A0234"/>
    <w:rsid w:val="003A27EE"/>
    <w:rsid w:val="003A2C73"/>
    <w:rsid w:val="003A34F4"/>
    <w:rsid w:val="003B3DA8"/>
    <w:rsid w:val="003B79B3"/>
    <w:rsid w:val="003B7A6C"/>
    <w:rsid w:val="003C0FDA"/>
    <w:rsid w:val="003C514C"/>
    <w:rsid w:val="003D154B"/>
    <w:rsid w:val="003D338E"/>
    <w:rsid w:val="003D3CCF"/>
    <w:rsid w:val="003E0451"/>
    <w:rsid w:val="003E2A2D"/>
    <w:rsid w:val="003E404E"/>
    <w:rsid w:val="003F4E11"/>
    <w:rsid w:val="003F6B4A"/>
    <w:rsid w:val="003F7ACB"/>
    <w:rsid w:val="004006DD"/>
    <w:rsid w:val="004026B5"/>
    <w:rsid w:val="0040377E"/>
    <w:rsid w:val="004040AE"/>
    <w:rsid w:val="00406FFA"/>
    <w:rsid w:val="00411227"/>
    <w:rsid w:val="00411F02"/>
    <w:rsid w:val="00417DA9"/>
    <w:rsid w:val="004206A7"/>
    <w:rsid w:val="00422EC6"/>
    <w:rsid w:val="00430030"/>
    <w:rsid w:val="00431502"/>
    <w:rsid w:val="00431780"/>
    <w:rsid w:val="00431B16"/>
    <w:rsid w:val="00432F04"/>
    <w:rsid w:val="00442310"/>
    <w:rsid w:val="00446BA0"/>
    <w:rsid w:val="00457FF1"/>
    <w:rsid w:val="004600B6"/>
    <w:rsid w:val="00460224"/>
    <w:rsid w:val="0046371E"/>
    <w:rsid w:val="0046472F"/>
    <w:rsid w:val="004659DB"/>
    <w:rsid w:val="00467ADE"/>
    <w:rsid w:val="00471363"/>
    <w:rsid w:val="004746B7"/>
    <w:rsid w:val="00482715"/>
    <w:rsid w:val="0048363E"/>
    <w:rsid w:val="0048373E"/>
    <w:rsid w:val="00484648"/>
    <w:rsid w:val="00493577"/>
    <w:rsid w:val="00493F0A"/>
    <w:rsid w:val="004949A4"/>
    <w:rsid w:val="00495592"/>
    <w:rsid w:val="0049763B"/>
    <w:rsid w:val="004A27BF"/>
    <w:rsid w:val="004A6D6A"/>
    <w:rsid w:val="004B0427"/>
    <w:rsid w:val="004B0960"/>
    <w:rsid w:val="004B1931"/>
    <w:rsid w:val="004B39F4"/>
    <w:rsid w:val="004B3A78"/>
    <w:rsid w:val="004B6E14"/>
    <w:rsid w:val="004B7F74"/>
    <w:rsid w:val="004B7FFB"/>
    <w:rsid w:val="004C265A"/>
    <w:rsid w:val="004C662C"/>
    <w:rsid w:val="004C6851"/>
    <w:rsid w:val="004D0815"/>
    <w:rsid w:val="004D42AD"/>
    <w:rsid w:val="004D48A3"/>
    <w:rsid w:val="004D50B4"/>
    <w:rsid w:val="004F0BFB"/>
    <w:rsid w:val="004F200F"/>
    <w:rsid w:val="004F52DF"/>
    <w:rsid w:val="005007F0"/>
    <w:rsid w:val="0050619F"/>
    <w:rsid w:val="005073BE"/>
    <w:rsid w:val="005076F1"/>
    <w:rsid w:val="0051669D"/>
    <w:rsid w:val="00522178"/>
    <w:rsid w:val="00522690"/>
    <w:rsid w:val="00522ABE"/>
    <w:rsid w:val="00524C1B"/>
    <w:rsid w:val="00531796"/>
    <w:rsid w:val="005342E3"/>
    <w:rsid w:val="0053610D"/>
    <w:rsid w:val="00536B2D"/>
    <w:rsid w:val="00540B62"/>
    <w:rsid w:val="005419B9"/>
    <w:rsid w:val="005425C6"/>
    <w:rsid w:val="005429A8"/>
    <w:rsid w:val="00544241"/>
    <w:rsid w:val="00550B28"/>
    <w:rsid w:val="00556141"/>
    <w:rsid w:val="005572F0"/>
    <w:rsid w:val="00561731"/>
    <w:rsid w:val="00566A2E"/>
    <w:rsid w:val="00566CF1"/>
    <w:rsid w:val="00567F6F"/>
    <w:rsid w:val="00571830"/>
    <w:rsid w:val="00571A33"/>
    <w:rsid w:val="0057233D"/>
    <w:rsid w:val="00574E5C"/>
    <w:rsid w:val="00576F2E"/>
    <w:rsid w:val="005805AA"/>
    <w:rsid w:val="00582B57"/>
    <w:rsid w:val="0058355D"/>
    <w:rsid w:val="005851AE"/>
    <w:rsid w:val="005855F8"/>
    <w:rsid w:val="0059028F"/>
    <w:rsid w:val="00590B4A"/>
    <w:rsid w:val="00590F6F"/>
    <w:rsid w:val="005913D1"/>
    <w:rsid w:val="00592E1B"/>
    <w:rsid w:val="0059671C"/>
    <w:rsid w:val="005A26DE"/>
    <w:rsid w:val="005A36BB"/>
    <w:rsid w:val="005A4777"/>
    <w:rsid w:val="005B6232"/>
    <w:rsid w:val="005C2856"/>
    <w:rsid w:val="005D0A4F"/>
    <w:rsid w:val="005D1E4D"/>
    <w:rsid w:val="005D3CA6"/>
    <w:rsid w:val="005D57DD"/>
    <w:rsid w:val="005D7B80"/>
    <w:rsid w:val="005E02FC"/>
    <w:rsid w:val="005E0CBC"/>
    <w:rsid w:val="005E18E1"/>
    <w:rsid w:val="005E319B"/>
    <w:rsid w:val="005E3A86"/>
    <w:rsid w:val="005E472E"/>
    <w:rsid w:val="005E7510"/>
    <w:rsid w:val="005F0383"/>
    <w:rsid w:val="005F33C4"/>
    <w:rsid w:val="005F3799"/>
    <w:rsid w:val="005F7A7D"/>
    <w:rsid w:val="006032E8"/>
    <w:rsid w:val="006112F2"/>
    <w:rsid w:val="00613EF3"/>
    <w:rsid w:val="006151A1"/>
    <w:rsid w:val="00615AF7"/>
    <w:rsid w:val="0062165A"/>
    <w:rsid w:val="00621AB2"/>
    <w:rsid w:val="00621FE9"/>
    <w:rsid w:val="006248D7"/>
    <w:rsid w:val="00632AFE"/>
    <w:rsid w:val="00632E6E"/>
    <w:rsid w:val="0064072D"/>
    <w:rsid w:val="006412C3"/>
    <w:rsid w:val="00643517"/>
    <w:rsid w:val="006448DD"/>
    <w:rsid w:val="00644BEA"/>
    <w:rsid w:val="00645314"/>
    <w:rsid w:val="00650862"/>
    <w:rsid w:val="006556FA"/>
    <w:rsid w:val="00660077"/>
    <w:rsid w:val="0066627B"/>
    <w:rsid w:val="00667933"/>
    <w:rsid w:val="0067107F"/>
    <w:rsid w:val="006711FA"/>
    <w:rsid w:val="00673F28"/>
    <w:rsid w:val="00674A3A"/>
    <w:rsid w:val="00675989"/>
    <w:rsid w:val="0068024C"/>
    <w:rsid w:val="00681FDE"/>
    <w:rsid w:val="00682D05"/>
    <w:rsid w:val="00684AD5"/>
    <w:rsid w:val="00685267"/>
    <w:rsid w:val="0069087A"/>
    <w:rsid w:val="0069204F"/>
    <w:rsid w:val="00693758"/>
    <w:rsid w:val="006A191A"/>
    <w:rsid w:val="006A2584"/>
    <w:rsid w:val="006A3A86"/>
    <w:rsid w:val="006A6976"/>
    <w:rsid w:val="006B36B4"/>
    <w:rsid w:val="006B7D82"/>
    <w:rsid w:val="006C6BFD"/>
    <w:rsid w:val="006C6E6E"/>
    <w:rsid w:val="006C7E81"/>
    <w:rsid w:val="006D0156"/>
    <w:rsid w:val="006D1061"/>
    <w:rsid w:val="006D1171"/>
    <w:rsid w:val="006D43F0"/>
    <w:rsid w:val="006D4410"/>
    <w:rsid w:val="006D5043"/>
    <w:rsid w:val="006E0634"/>
    <w:rsid w:val="006E065C"/>
    <w:rsid w:val="006E25C6"/>
    <w:rsid w:val="006E2879"/>
    <w:rsid w:val="006F1185"/>
    <w:rsid w:val="006F1C08"/>
    <w:rsid w:val="006F4252"/>
    <w:rsid w:val="006F711E"/>
    <w:rsid w:val="00700804"/>
    <w:rsid w:val="00700870"/>
    <w:rsid w:val="00704D8C"/>
    <w:rsid w:val="007068BF"/>
    <w:rsid w:val="00707FAC"/>
    <w:rsid w:val="00710E9E"/>
    <w:rsid w:val="00711DE5"/>
    <w:rsid w:val="00716E17"/>
    <w:rsid w:val="00717E82"/>
    <w:rsid w:val="00721831"/>
    <w:rsid w:val="00721C4F"/>
    <w:rsid w:val="00722CE0"/>
    <w:rsid w:val="00723E3F"/>
    <w:rsid w:val="0072768B"/>
    <w:rsid w:val="00730337"/>
    <w:rsid w:val="00731598"/>
    <w:rsid w:val="00740BDA"/>
    <w:rsid w:val="00742CD9"/>
    <w:rsid w:val="00743946"/>
    <w:rsid w:val="00744D05"/>
    <w:rsid w:val="00750EEC"/>
    <w:rsid w:val="0075164F"/>
    <w:rsid w:val="00752140"/>
    <w:rsid w:val="007537DB"/>
    <w:rsid w:val="007540B5"/>
    <w:rsid w:val="0075550C"/>
    <w:rsid w:val="00757C86"/>
    <w:rsid w:val="00757E82"/>
    <w:rsid w:val="00766561"/>
    <w:rsid w:val="007677DC"/>
    <w:rsid w:val="0077051B"/>
    <w:rsid w:val="00772288"/>
    <w:rsid w:val="007738C1"/>
    <w:rsid w:val="0077399D"/>
    <w:rsid w:val="00774EE8"/>
    <w:rsid w:val="0077557A"/>
    <w:rsid w:val="007819D9"/>
    <w:rsid w:val="007852AA"/>
    <w:rsid w:val="00785FE7"/>
    <w:rsid w:val="0078757C"/>
    <w:rsid w:val="0079020E"/>
    <w:rsid w:val="00792313"/>
    <w:rsid w:val="00795C23"/>
    <w:rsid w:val="007A019B"/>
    <w:rsid w:val="007A0DE1"/>
    <w:rsid w:val="007A51D0"/>
    <w:rsid w:val="007A6902"/>
    <w:rsid w:val="007A6B0A"/>
    <w:rsid w:val="007B0116"/>
    <w:rsid w:val="007B06C7"/>
    <w:rsid w:val="007B08E6"/>
    <w:rsid w:val="007B1F11"/>
    <w:rsid w:val="007B6D3F"/>
    <w:rsid w:val="007C1252"/>
    <w:rsid w:val="007C294F"/>
    <w:rsid w:val="007C6DFB"/>
    <w:rsid w:val="007D1A23"/>
    <w:rsid w:val="007D5AAB"/>
    <w:rsid w:val="007D5CA5"/>
    <w:rsid w:val="007D7382"/>
    <w:rsid w:val="007E2056"/>
    <w:rsid w:val="007E2C5A"/>
    <w:rsid w:val="007E6A36"/>
    <w:rsid w:val="007E6F91"/>
    <w:rsid w:val="007F28E6"/>
    <w:rsid w:val="007F30C5"/>
    <w:rsid w:val="007F489C"/>
    <w:rsid w:val="00800998"/>
    <w:rsid w:val="00801011"/>
    <w:rsid w:val="00801FE4"/>
    <w:rsid w:val="00812E57"/>
    <w:rsid w:val="0082139B"/>
    <w:rsid w:val="00822650"/>
    <w:rsid w:val="0083011F"/>
    <w:rsid w:val="00830AAB"/>
    <w:rsid w:val="00830D0A"/>
    <w:rsid w:val="008310E8"/>
    <w:rsid w:val="00832137"/>
    <w:rsid w:val="00835204"/>
    <w:rsid w:val="008361C9"/>
    <w:rsid w:val="008426F9"/>
    <w:rsid w:val="00847204"/>
    <w:rsid w:val="0085019A"/>
    <w:rsid w:val="00850C1E"/>
    <w:rsid w:val="008560A8"/>
    <w:rsid w:val="00857325"/>
    <w:rsid w:val="00861374"/>
    <w:rsid w:val="00862E0A"/>
    <w:rsid w:val="00862F16"/>
    <w:rsid w:val="0086432A"/>
    <w:rsid w:val="00864A1E"/>
    <w:rsid w:val="008666C4"/>
    <w:rsid w:val="00866D99"/>
    <w:rsid w:val="00870D0D"/>
    <w:rsid w:val="00870E16"/>
    <w:rsid w:val="00871F42"/>
    <w:rsid w:val="0087323C"/>
    <w:rsid w:val="00874A04"/>
    <w:rsid w:val="00883114"/>
    <w:rsid w:val="0088690F"/>
    <w:rsid w:val="00886EF2"/>
    <w:rsid w:val="00886F9B"/>
    <w:rsid w:val="008948CC"/>
    <w:rsid w:val="00896C44"/>
    <w:rsid w:val="00896C4D"/>
    <w:rsid w:val="00897741"/>
    <w:rsid w:val="008A150A"/>
    <w:rsid w:val="008A1EF5"/>
    <w:rsid w:val="008A3D55"/>
    <w:rsid w:val="008A4DFB"/>
    <w:rsid w:val="008A64AA"/>
    <w:rsid w:val="008B1963"/>
    <w:rsid w:val="008B1B39"/>
    <w:rsid w:val="008B4516"/>
    <w:rsid w:val="008C645F"/>
    <w:rsid w:val="008D072D"/>
    <w:rsid w:val="008D0F87"/>
    <w:rsid w:val="008D42D9"/>
    <w:rsid w:val="008D5D2F"/>
    <w:rsid w:val="008E067B"/>
    <w:rsid w:val="008E2408"/>
    <w:rsid w:val="008E3201"/>
    <w:rsid w:val="008E4430"/>
    <w:rsid w:val="008E6843"/>
    <w:rsid w:val="008F1B1D"/>
    <w:rsid w:val="008F38EC"/>
    <w:rsid w:val="008F63B9"/>
    <w:rsid w:val="008F7CEF"/>
    <w:rsid w:val="00900A16"/>
    <w:rsid w:val="00900D15"/>
    <w:rsid w:val="00903000"/>
    <w:rsid w:val="00903749"/>
    <w:rsid w:val="0090514F"/>
    <w:rsid w:val="00911867"/>
    <w:rsid w:val="009123A7"/>
    <w:rsid w:val="00916AAE"/>
    <w:rsid w:val="00920C60"/>
    <w:rsid w:val="00920EA3"/>
    <w:rsid w:val="00924DC8"/>
    <w:rsid w:val="00925D54"/>
    <w:rsid w:val="009302E5"/>
    <w:rsid w:val="0093058D"/>
    <w:rsid w:val="009309C8"/>
    <w:rsid w:val="0093289A"/>
    <w:rsid w:val="00933D61"/>
    <w:rsid w:val="0093473A"/>
    <w:rsid w:val="00934AC6"/>
    <w:rsid w:val="00934EAD"/>
    <w:rsid w:val="00936E14"/>
    <w:rsid w:val="009411A6"/>
    <w:rsid w:val="00942AEE"/>
    <w:rsid w:val="00942BEC"/>
    <w:rsid w:val="00943CAA"/>
    <w:rsid w:val="00944021"/>
    <w:rsid w:val="00944B3F"/>
    <w:rsid w:val="0094560A"/>
    <w:rsid w:val="00945D3F"/>
    <w:rsid w:val="0095370E"/>
    <w:rsid w:val="0096553F"/>
    <w:rsid w:val="00970406"/>
    <w:rsid w:val="009710EB"/>
    <w:rsid w:val="00971177"/>
    <w:rsid w:val="009814C2"/>
    <w:rsid w:val="009863E2"/>
    <w:rsid w:val="00990E38"/>
    <w:rsid w:val="00992399"/>
    <w:rsid w:val="00993C6E"/>
    <w:rsid w:val="009948EC"/>
    <w:rsid w:val="00995043"/>
    <w:rsid w:val="0099683A"/>
    <w:rsid w:val="009A3C62"/>
    <w:rsid w:val="009B015A"/>
    <w:rsid w:val="009B50DC"/>
    <w:rsid w:val="009B535C"/>
    <w:rsid w:val="009C4A9F"/>
    <w:rsid w:val="009C603B"/>
    <w:rsid w:val="009C6BBF"/>
    <w:rsid w:val="009D057F"/>
    <w:rsid w:val="009D44D5"/>
    <w:rsid w:val="009D4A87"/>
    <w:rsid w:val="009D4B7F"/>
    <w:rsid w:val="009D6EBA"/>
    <w:rsid w:val="009E05C8"/>
    <w:rsid w:val="009E387C"/>
    <w:rsid w:val="009E62B0"/>
    <w:rsid w:val="009E7B0E"/>
    <w:rsid w:val="009E7B21"/>
    <w:rsid w:val="009F4CC9"/>
    <w:rsid w:val="009F52D1"/>
    <w:rsid w:val="009F5B32"/>
    <w:rsid w:val="00A0526F"/>
    <w:rsid w:val="00A073CC"/>
    <w:rsid w:val="00A11E7D"/>
    <w:rsid w:val="00A11EAE"/>
    <w:rsid w:val="00A12B80"/>
    <w:rsid w:val="00A1728E"/>
    <w:rsid w:val="00A17553"/>
    <w:rsid w:val="00A20A07"/>
    <w:rsid w:val="00A27856"/>
    <w:rsid w:val="00A33AE5"/>
    <w:rsid w:val="00A43BCE"/>
    <w:rsid w:val="00A46C88"/>
    <w:rsid w:val="00A47733"/>
    <w:rsid w:val="00A505EA"/>
    <w:rsid w:val="00A506D2"/>
    <w:rsid w:val="00A57CEF"/>
    <w:rsid w:val="00A6501E"/>
    <w:rsid w:val="00A669CE"/>
    <w:rsid w:val="00A70083"/>
    <w:rsid w:val="00A706F6"/>
    <w:rsid w:val="00A71731"/>
    <w:rsid w:val="00A720C5"/>
    <w:rsid w:val="00A7285C"/>
    <w:rsid w:val="00A7600B"/>
    <w:rsid w:val="00A77278"/>
    <w:rsid w:val="00A8123C"/>
    <w:rsid w:val="00A82243"/>
    <w:rsid w:val="00A83908"/>
    <w:rsid w:val="00A9112A"/>
    <w:rsid w:val="00AA2502"/>
    <w:rsid w:val="00AA2ED6"/>
    <w:rsid w:val="00AA344F"/>
    <w:rsid w:val="00AA505A"/>
    <w:rsid w:val="00AB24C2"/>
    <w:rsid w:val="00AB541E"/>
    <w:rsid w:val="00AC443B"/>
    <w:rsid w:val="00AC4486"/>
    <w:rsid w:val="00AD285F"/>
    <w:rsid w:val="00AD386E"/>
    <w:rsid w:val="00AD4E88"/>
    <w:rsid w:val="00AD5F08"/>
    <w:rsid w:val="00AE07FF"/>
    <w:rsid w:val="00AE0A1D"/>
    <w:rsid w:val="00AE1ABF"/>
    <w:rsid w:val="00AE330C"/>
    <w:rsid w:val="00AE683B"/>
    <w:rsid w:val="00AF17B1"/>
    <w:rsid w:val="00AF17DC"/>
    <w:rsid w:val="00AF22E1"/>
    <w:rsid w:val="00AF695C"/>
    <w:rsid w:val="00B001EA"/>
    <w:rsid w:val="00B12015"/>
    <w:rsid w:val="00B17286"/>
    <w:rsid w:val="00B22B2E"/>
    <w:rsid w:val="00B2360A"/>
    <w:rsid w:val="00B23683"/>
    <w:rsid w:val="00B23E0D"/>
    <w:rsid w:val="00B26D2D"/>
    <w:rsid w:val="00B27062"/>
    <w:rsid w:val="00B275B9"/>
    <w:rsid w:val="00B30611"/>
    <w:rsid w:val="00B3100F"/>
    <w:rsid w:val="00B332CC"/>
    <w:rsid w:val="00B3348B"/>
    <w:rsid w:val="00B37FF5"/>
    <w:rsid w:val="00B41A43"/>
    <w:rsid w:val="00B44138"/>
    <w:rsid w:val="00B50975"/>
    <w:rsid w:val="00B50E27"/>
    <w:rsid w:val="00B513D1"/>
    <w:rsid w:val="00B5304E"/>
    <w:rsid w:val="00B54986"/>
    <w:rsid w:val="00B5748D"/>
    <w:rsid w:val="00B60329"/>
    <w:rsid w:val="00B652F1"/>
    <w:rsid w:val="00B701FC"/>
    <w:rsid w:val="00B70BCF"/>
    <w:rsid w:val="00B719A2"/>
    <w:rsid w:val="00B72EE7"/>
    <w:rsid w:val="00B75EDB"/>
    <w:rsid w:val="00B77126"/>
    <w:rsid w:val="00B77768"/>
    <w:rsid w:val="00B81992"/>
    <w:rsid w:val="00B84EA2"/>
    <w:rsid w:val="00B86568"/>
    <w:rsid w:val="00B87FA5"/>
    <w:rsid w:val="00B91745"/>
    <w:rsid w:val="00BA00C0"/>
    <w:rsid w:val="00BA0D18"/>
    <w:rsid w:val="00BA426D"/>
    <w:rsid w:val="00BB41A9"/>
    <w:rsid w:val="00BB4EE7"/>
    <w:rsid w:val="00BB7E68"/>
    <w:rsid w:val="00BC0B81"/>
    <w:rsid w:val="00BC2AFB"/>
    <w:rsid w:val="00BC40BD"/>
    <w:rsid w:val="00BD2D96"/>
    <w:rsid w:val="00BD3EB3"/>
    <w:rsid w:val="00BD4C34"/>
    <w:rsid w:val="00BE189C"/>
    <w:rsid w:val="00BE24E2"/>
    <w:rsid w:val="00BE2F46"/>
    <w:rsid w:val="00BE36DB"/>
    <w:rsid w:val="00BE7F5F"/>
    <w:rsid w:val="00BF1E5B"/>
    <w:rsid w:val="00BF3029"/>
    <w:rsid w:val="00BF38FC"/>
    <w:rsid w:val="00BF4690"/>
    <w:rsid w:val="00BF5022"/>
    <w:rsid w:val="00BF7167"/>
    <w:rsid w:val="00C02562"/>
    <w:rsid w:val="00C04795"/>
    <w:rsid w:val="00C06BE8"/>
    <w:rsid w:val="00C07B26"/>
    <w:rsid w:val="00C1263B"/>
    <w:rsid w:val="00C1597F"/>
    <w:rsid w:val="00C226F9"/>
    <w:rsid w:val="00C246CA"/>
    <w:rsid w:val="00C24AE7"/>
    <w:rsid w:val="00C2514E"/>
    <w:rsid w:val="00C2668A"/>
    <w:rsid w:val="00C3475F"/>
    <w:rsid w:val="00C35737"/>
    <w:rsid w:val="00C37CEC"/>
    <w:rsid w:val="00C45469"/>
    <w:rsid w:val="00C45E77"/>
    <w:rsid w:val="00C46FDB"/>
    <w:rsid w:val="00C472A1"/>
    <w:rsid w:val="00C521BB"/>
    <w:rsid w:val="00C542FC"/>
    <w:rsid w:val="00C55269"/>
    <w:rsid w:val="00C564CA"/>
    <w:rsid w:val="00C57B7B"/>
    <w:rsid w:val="00C63685"/>
    <w:rsid w:val="00C65A5D"/>
    <w:rsid w:val="00C6618C"/>
    <w:rsid w:val="00C70772"/>
    <w:rsid w:val="00C711A5"/>
    <w:rsid w:val="00C71244"/>
    <w:rsid w:val="00C73422"/>
    <w:rsid w:val="00C8144C"/>
    <w:rsid w:val="00C82D5A"/>
    <w:rsid w:val="00C8487F"/>
    <w:rsid w:val="00C85F06"/>
    <w:rsid w:val="00C86FD3"/>
    <w:rsid w:val="00C870F1"/>
    <w:rsid w:val="00C87D1F"/>
    <w:rsid w:val="00C90D7A"/>
    <w:rsid w:val="00C944CD"/>
    <w:rsid w:val="00C95275"/>
    <w:rsid w:val="00C95E20"/>
    <w:rsid w:val="00C9689A"/>
    <w:rsid w:val="00C97FD7"/>
    <w:rsid w:val="00CA0292"/>
    <w:rsid w:val="00CA43D0"/>
    <w:rsid w:val="00CA6C16"/>
    <w:rsid w:val="00CC0A38"/>
    <w:rsid w:val="00CC189F"/>
    <w:rsid w:val="00CC2104"/>
    <w:rsid w:val="00CC2E72"/>
    <w:rsid w:val="00CC5807"/>
    <w:rsid w:val="00CD224B"/>
    <w:rsid w:val="00CD2CE6"/>
    <w:rsid w:val="00CE1985"/>
    <w:rsid w:val="00CE24F4"/>
    <w:rsid w:val="00CE6B6C"/>
    <w:rsid w:val="00CF0413"/>
    <w:rsid w:val="00CF0C4A"/>
    <w:rsid w:val="00CF33C3"/>
    <w:rsid w:val="00CF78BE"/>
    <w:rsid w:val="00D0068A"/>
    <w:rsid w:val="00D063A2"/>
    <w:rsid w:val="00D06AB7"/>
    <w:rsid w:val="00D10199"/>
    <w:rsid w:val="00D11380"/>
    <w:rsid w:val="00D127D9"/>
    <w:rsid w:val="00D13179"/>
    <w:rsid w:val="00D15520"/>
    <w:rsid w:val="00D16311"/>
    <w:rsid w:val="00D206A4"/>
    <w:rsid w:val="00D22824"/>
    <w:rsid w:val="00D2360A"/>
    <w:rsid w:val="00D248C5"/>
    <w:rsid w:val="00D271A3"/>
    <w:rsid w:val="00D33483"/>
    <w:rsid w:val="00D35004"/>
    <w:rsid w:val="00D42471"/>
    <w:rsid w:val="00D5362C"/>
    <w:rsid w:val="00D54017"/>
    <w:rsid w:val="00D54B81"/>
    <w:rsid w:val="00D56DA0"/>
    <w:rsid w:val="00D57468"/>
    <w:rsid w:val="00D605C0"/>
    <w:rsid w:val="00D61E9D"/>
    <w:rsid w:val="00D62AAD"/>
    <w:rsid w:val="00D62BDE"/>
    <w:rsid w:val="00D65348"/>
    <w:rsid w:val="00D66476"/>
    <w:rsid w:val="00D6656E"/>
    <w:rsid w:val="00D7135D"/>
    <w:rsid w:val="00D71523"/>
    <w:rsid w:val="00D71F6D"/>
    <w:rsid w:val="00D755EB"/>
    <w:rsid w:val="00D75978"/>
    <w:rsid w:val="00D7760B"/>
    <w:rsid w:val="00D776C4"/>
    <w:rsid w:val="00D83BB2"/>
    <w:rsid w:val="00D84074"/>
    <w:rsid w:val="00D847F6"/>
    <w:rsid w:val="00D90E37"/>
    <w:rsid w:val="00D96BE4"/>
    <w:rsid w:val="00DA6E2B"/>
    <w:rsid w:val="00DB0452"/>
    <w:rsid w:val="00DB2023"/>
    <w:rsid w:val="00DB46C4"/>
    <w:rsid w:val="00DB4F0A"/>
    <w:rsid w:val="00DC2C26"/>
    <w:rsid w:val="00DC3FEB"/>
    <w:rsid w:val="00DD10DC"/>
    <w:rsid w:val="00DD1450"/>
    <w:rsid w:val="00DD1958"/>
    <w:rsid w:val="00DD23C2"/>
    <w:rsid w:val="00DD274C"/>
    <w:rsid w:val="00DD295E"/>
    <w:rsid w:val="00DD4CE4"/>
    <w:rsid w:val="00DD73FF"/>
    <w:rsid w:val="00DD7938"/>
    <w:rsid w:val="00DE1E5F"/>
    <w:rsid w:val="00DE3F61"/>
    <w:rsid w:val="00DE4078"/>
    <w:rsid w:val="00DE5159"/>
    <w:rsid w:val="00DE6E99"/>
    <w:rsid w:val="00DF2183"/>
    <w:rsid w:val="00DF49B9"/>
    <w:rsid w:val="00DF5200"/>
    <w:rsid w:val="00DF7406"/>
    <w:rsid w:val="00E00646"/>
    <w:rsid w:val="00E00816"/>
    <w:rsid w:val="00E02649"/>
    <w:rsid w:val="00E027A2"/>
    <w:rsid w:val="00E077AC"/>
    <w:rsid w:val="00E07B02"/>
    <w:rsid w:val="00E108A4"/>
    <w:rsid w:val="00E11024"/>
    <w:rsid w:val="00E11F91"/>
    <w:rsid w:val="00E12141"/>
    <w:rsid w:val="00E13570"/>
    <w:rsid w:val="00E13DFA"/>
    <w:rsid w:val="00E20676"/>
    <w:rsid w:val="00E20A56"/>
    <w:rsid w:val="00E20E51"/>
    <w:rsid w:val="00E304E3"/>
    <w:rsid w:val="00E31E84"/>
    <w:rsid w:val="00E3456E"/>
    <w:rsid w:val="00E35B63"/>
    <w:rsid w:val="00E37E0F"/>
    <w:rsid w:val="00E4047E"/>
    <w:rsid w:val="00E42458"/>
    <w:rsid w:val="00E553C0"/>
    <w:rsid w:val="00E623E7"/>
    <w:rsid w:val="00E62697"/>
    <w:rsid w:val="00E655CA"/>
    <w:rsid w:val="00E657E5"/>
    <w:rsid w:val="00E676C2"/>
    <w:rsid w:val="00E70719"/>
    <w:rsid w:val="00E71688"/>
    <w:rsid w:val="00E74196"/>
    <w:rsid w:val="00E82CB7"/>
    <w:rsid w:val="00E8332E"/>
    <w:rsid w:val="00E8786E"/>
    <w:rsid w:val="00E87DFC"/>
    <w:rsid w:val="00E91090"/>
    <w:rsid w:val="00E97A22"/>
    <w:rsid w:val="00E97B53"/>
    <w:rsid w:val="00EA09A0"/>
    <w:rsid w:val="00EA0D99"/>
    <w:rsid w:val="00EA0F24"/>
    <w:rsid w:val="00EA14E3"/>
    <w:rsid w:val="00EA2EBD"/>
    <w:rsid w:val="00EB2D60"/>
    <w:rsid w:val="00EB5677"/>
    <w:rsid w:val="00EB6ADC"/>
    <w:rsid w:val="00EC10DC"/>
    <w:rsid w:val="00EC5976"/>
    <w:rsid w:val="00EC6331"/>
    <w:rsid w:val="00ED19CE"/>
    <w:rsid w:val="00ED291B"/>
    <w:rsid w:val="00ED3F51"/>
    <w:rsid w:val="00ED719C"/>
    <w:rsid w:val="00EE68E3"/>
    <w:rsid w:val="00EF1559"/>
    <w:rsid w:val="00EF233B"/>
    <w:rsid w:val="00EF34A8"/>
    <w:rsid w:val="00EF7BAD"/>
    <w:rsid w:val="00F047C8"/>
    <w:rsid w:val="00F10DB3"/>
    <w:rsid w:val="00F13654"/>
    <w:rsid w:val="00F13702"/>
    <w:rsid w:val="00F1586C"/>
    <w:rsid w:val="00F1632F"/>
    <w:rsid w:val="00F16DDD"/>
    <w:rsid w:val="00F171B5"/>
    <w:rsid w:val="00F2021A"/>
    <w:rsid w:val="00F22815"/>
    <w:rsid w:val="00F24B4A"/>
    <w:rsid w:val="00F257A8"/>
    <w:rsid w:val="00F25880"/>
    <w:rsid w:val="00F267A0"/>
    <w:rsid w:val="00F4169D"/>
    <w:rsid w:val="00F429F8"/>
    <w:rsid w:val="00F51166"/>
    <w:rsid w:val="00F51F77"/>
    <w:rsid w:val="00F52099"/>
    <w:rsid w:val="00F55921"/>
    <w:rsid w:val="00F5699B"/>
    <w:rsid w:val="00F60148"/>
    <w:rsid w:val="00F638DF"/>
    <w:rsid w:val="00F64CB2"/>
    <w:rsid w:val="00F65D8F"/>
    <w:rsid w:val="00F66385"/>
    <w:rsid w:val="00F66A19"/>
    <w:rsid w:val="00F66AA7"/>
    <w:rsid w:val="00F74DFA"/>
    <w:rsid w:val="00F764A3"/>
    <w:rsid w:val="00F80504"/>
    <w:rsid w:val="00F83984"/>
    <w:rsid w:val="00F85486"/>
    <w:rsid w:val="00F86965"/>
    <w:rsid w:val="00F90F6C"/>
    <w:rsid w:val="00F911F3"/>
    <w:rsid w:val="00F9185F"/>
    <w:rsid w:val="00F92FF6"/>
    <w:rsid w:val="00F93425"/>
    <w:rsid w:val="00F93ADA"/>
    <w:rsid w:val="00F95085"/>
    <w:rsid w:val="00F976E2"/>
    <w:rsid w:val="00FA3E01"/>
    <w:rsid w:val="00FA696E"/>
    <w:rsid w:val="00FA70DF"/>
    <w:rsid w:val="00FB0FED"/>
    <w:rsid w:val="00FB228F"/>
    <w:rsid w:val="00FB261F"/>
    <w:rsid w:val="00FB2684"/>
    <w:rsid w:val="00FB5FAC"/>
    <w:rsid w:val="00FB663E"/>
    <w:rsid w:val="00FD1A74"/>
    <w:rsid w:val="00FD3A63"/>
    <w:rsid w:val="00FD3ACA"/>
    <w:rsid w:val="00FD58AB"/>
    <w:rsid w:val="00FD7EA7"/>
    <w:rsid w:val="00FE0401"/>
    <w:rsid w:val="00FE21B0"/>
    <w:rsid w:val="00FE6368"/>
    <w:rsid w:val="00FE6CCD"/>
    <w:rsid w:val="00FE7D2E"/>
    <w:rsid w:val="00FF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07498"/>
  <w15:docId w15:val="{E0662180-9B85-4026-B129-D2B4923AF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AD5"/>
  </w:style>
  <w:style w:type="paragraph" w:styleId="Heading1">
    <w:name w:val="heading 1"/>
    <w:basedOn w:val="Normal"/>
    <w:link w:val="Heading1Char"/>
    <w:autoRedefine/>
    <w:uiPriority w:val="9"/>
    <w:qFormat/>
    <w:rsid w:val="00C90D7A"/>
    <w:pPr>
      <w:spacing w:after="0" w:line="360" w:lineRule="auto"/>
      <w:contextualSpacing/>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A6902"/>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link w:val="Heading3Char"/>
    <w:uiPriority w:val="9"/>
    <w:qFormat/>
    <w:rsid w:val="00B70BCF"/>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320D3E"/>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9">
    <w:name w:val="heading 9"/>
    <w:basedOn w:val="Normal"/>
    <w:next w:val="Normal"/>
    <w:link w:val="Heading9Char"/>
    <w:uiPriority w:val="9"/>
    <w:semiHidden/>
    <w:unhideWhenUsed/>
    <w:qFormat/>
    <w:rsid w:val="00DB4F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D7A"/>
    <w:rPr>
      <w:rFonts w:eastAsiaTheme="majorEastAsia" w:cstheme="majorBidi"/>
      <w:b/>
      <w:szCs w:val="32"/>
    </w:rPr>
  </w:style>
  <w:style w:type="character" w:customStyle="1" w:styleId="Heading2Char">
    <w:name w:val="Heading 2 Char"/>
    <w:basedOn w:val="DefaultParagraphFont"/>
    <w:link w:val="Heading2"/>
    <w:uiPriority w:val="9"/>
    <w:semiHidden/>
    <w:rsid w:val="007A6902"/>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B70BCF"/>
    <w:rPr>
      <w:rFonts w:eastAsia="Times New Roman"/>
      <w:b/>
      <w:bCs/>
      <w:sz w:val="27"/>
      <w:szCs w:val="27"/>
    </w:rPr>
  </w:style>
  <w:style w:type="character" w:customStyle="1" w:styleId="Heading4Char">
    <w:name w:val="Heading 4 Char"/>
    <w:basedOn w:val="DefaultParagraphFont"/>
    <w:link w:val="Heading4"/>
    <w:uiPriority w:val="9"/>
    <w:semiHidden/>
    <w:rsid w:val="00320D3E"/>
    <w:rPr>
      <w:rFonts w:asciiTheme="majorHAnsi" w:eastAsiaTheme="majorEastAsia" w:hAnsiTheme="majorHAnsi" w:cstheme="majorBidi"/>
      <w:i/>
      <w:iCs/>
      <w:color w:val="374C80" w:themeColor="accent1" w:themeShade="BF"/>
    </w:rPr>
  </w:style>
  <w:style w:type="character" w:customStyle="1" w:styleId="Heading9Char">
    <w:name w:val="Heading 9 Char"/>
    <w:basedOn w:val="DefaultParagraphFont"/>
    <w:link w:val="Heading9"/>
    <w:uiPriority w:val="9"/>
    <w:semiHidden/>
    <w:rsid w:val="00DB4F0A"/>
    <w:rPr>
      <w:rFonts w:asciiTheme="majorHAnsi" w:eastAsiaTheme="majorEastAsia" w:hAnsiTheme="majorHAnsi" w:cstheme="majorBidi"/>
      <w:i/>
      <w:iCs/>
      <w:color w:val="404040" w:themeColor="text1" w:themeTint="BF"/>
      <w:sz w:val="20"/>
      <w:szCs w:val="20"/>
    </w:rPr>
  </w:style>
  <w:style w:type="paragraph" w:customStyle="1" w:styleId="Default">
    <w:name w:val="Default"/>
    <w:rsid w:val="00684A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8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AD5"/>
    <w:rPr>
      <w:rFonts w:ascii="Tahoma" w:hAnsi="Tahoma" w:cs="Tahoma"/>
      <w:sz w:val="16"/>
      <w:szCs w:val="16"/>
    </w:rPr>
  </w:style>
  <w:style w:type="paragraph" w:styleId="Header">
    <w:name w:val="header"/>
    <w:basedOn w:val="Normal"/>
    <w:link w:val="HeaderChar"/>
    <w:uiPriority w:val="99"/>
    <w:unhideWhenUsed/>
    <w:rsid w:val="003D3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38E"/>
  </w:style>
  <w:style w:type="paragraph" w:styleId="Footer">
    <w:name w:val="footer"/>
    <w:basedOn w:val="Normal"/>
    <w:link w:val="FooterChar"/>
    <w:uiPriority w:val="99"/>
    <w:unhideWhenUsed/>
    <w:rsid w:val="003D3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38E"/>
  </w:style>
  <w:style w:type="character" w:styleId="PlaceholderText">
    <w:name w:val="Placeholder Text"/>
    <w:basedOn w:val="DefaultParagraphFont"/>
    <w:uiPriority w:val="99"/>
    <w:semiHidden/>
    <w:rsid w:val="00431780"/>
    <w:rPr>
      <w:color w:val="808080"/>
    </w:rPr>
  </w:style>
  <w:style w:type="table" w:styleId="TableGrid">
    <w:name w:val="Table Grid"/>
    <w:basedOn w:val="TableNormal"/>
    <w:rsid w:val="00727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B26D2D"/>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B26D2D"/>
    <w:rPr>
      <w:rFonts w:asciiTheme="majorHAnsi" w:eastAsiaTheme="majorEastAsia" w:hAnsiTheme="majorHAnsi" w:cstheme="majorBidi"/>
      <w:color w:val="1B1D3D" w:themeColor="text2" w:themeShade="BF"/>
      <w:spacing w:val="5"/>
      <w:kern w:val="28"/>
      <w:sz w:val="52"/>
      <w:szCs w:val="52"/>
    </w:rPr>
  </w:style>
  <w:style w:type="paragraph" w:styleId="NormalWeb">
    <w:name w:val="Normal (Web)"/>
    <w:basedOn w:val="Normal"/>
    <w:uiPriority w:val="99"/>
    <w:unhideWhenUsed/>
    <w:rsid w:val="00B70BC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70BCF"/>
    <w:rPr>
      <w:b/>
      <w:bCs/>
    </w:rPr>
  </w:style>
  <w:style w:type="paragraph" w:styleId="ListParagraph">
    <w:name w:val="List Paragraph"/>
    <w:basedOn w:val="Normal"/>
    <w:link w:val="ListParagraphChar"/>
    <w:uiPriority w:val="34"/>
    <w:qFormat/>
    <w:rsid w:val="002F3562"/>
    <w:pPr>
      <w:spacing w:after="0" w:line="240" w:lineRule="auto"/>
      <w:ind w:left="720"/>
      <w:contextualSpacing/>
    </w:pPr>
    <w:rPr>
      <w:rFonts w:cstheme="minorBidi"/>
      <w:szCs w:val="22"/>
    </w:rPr>
  </w:style>
  <w:style w:type="character" w:customStyle="1" w:styleId="ListParagraphChar">
    <w:name w:val="List Paragraph Char"/>
    <w:basedOn w:val="DefaultParagraphFont"/>
    <w:link w:val="ListParagraph"/>
    <w:uiPriority w:val="34"/>
    <w:rsid w:val="00E82CB7"/>
    <w:rPr>
      <w:rFonts w:cstheme="minorBidi"/>
      <w:szCs w:val="22"/>
    </w:rPr>
  </w:style>
  <w:style w:type="paragraph" w:styleId="BodyText">
    <w:name w:val="Body Text"/>
    <w:basedOn w:val="Normal"/>
    <w:link w:val="BodyTextChar"/>
    <w:uiPriority w:val="1"/>
    <w:qFormat/>
    <w:rsid w:val="007A6902"/>
    <w:pPr>
      <w:widowControl w:val="0"/>
      <w:autoSpaceDE w:val="0"/>
      <w:autoSpaceDN w:val="0"/>
      <w:spacing w:after="0" w:line="240" w:lineRule="auto"/>
      <w:ind w:left="198"/>
    </w:pPr>
    <w:rPr>
      <w:rFonts w:eastAsia="Times New Roman"/>
      <w:sz w:val="26"/>
      <w:szCs w:val="26"/>
      <w:lang w:bidi="en-US"/>
    </w:rPr>
  </w:style>
  <w:style w:type="character" w:customStyle="1" w:styleId="BodyTextChar">
    <w:name w:val="Body Text Char"/>
    <w:basedOn w:val="DefaultParagraphFont"/>
    <w:link w:val="BodyText"/>
    <w:uiPriority w:val="1"/>
    <w:rsid w:val="007A6902"/>
    <w:rPr>
      <w:rFonts w:eastAsia="Times New Roman"/>
      <w:sz w:val="26"/>
      <w:szCs w:val="26"/>
      <w:lang w:bidi="en-US"/>
    </w:rPr>
  </w:style>
  <w:style w:type="character" w:styleId="Hyperlink">
    <w:name w:val="Hyperlink"/>
    <w:basedOn w:val="DefaultParagraphFont"/>
    <w:uiPriority w:val="99"/>
    <w:unhideWhenUsed/>
    <w:rsid w:val="003A2C73"/>
    <w:rPr>
      <w:color w:val="9454C3" w:themeColor="hyperlink"/>
      <w:u w:val="single"/>
    </w:rPr>
  </w:style>
  <w:style w:type="paragraph" w:customStyle="1" w:styleId="TableParagraph">
    <w:name w:val="Table Paragraph"/>
    <w:basedOn w:val="Normal"/>
    <w:uiPriority w:val="1"/>
    <w:qFormat/>
    <w:rsid w:val="0059671C"/>
    <w:pPr>
      <w:widowControl w:val="0"/>
      <w:autoSpaceDE w:val="0"/>
      <w:autoSpaceDN w:val="0"/>
      <w:spacing w:after="0" w:line="240" w:lineRule="auto"/>
    </w:pPr>
    <w:rPr>
      <w:rFonts w:eastAsia="Times New Roman"/>
      <w:sz w:val="22"/>
      <w:szCs w:val="22"/>
      <w:lang w:bidi="en-US"/>
    </w:rPr>
  </w:style>
  <w:style w:type="character" w:styleId="Emphasis">
    <w:name w:val="Emphasis"/>
    <w:basedOn w:val="DefaultParagraphFont"/>
    <w:uiPriority w:val="20"/>
    <w:qFormat/>
    <w:rsid w:val="00DE6E99"/>
    <w:rPr>
      <w:i/>
      <w:iCs/>
    </w:rPr>
  </w:style>
  <w:style w:type="character" w:styleId="FollowedHyperlink">
    <w:name w:val="FollowedHyperlink"/>
    <w:basedOn w:val="DefaultParagraphFont"/>
    <w:uiPriority w:val="99"/>
    <w:semiHidden/>
    <w:unhideWhenUsed/>
    <w:rsid w:val="003A27EE"/>
    <w:rPr>
      <w:color w:val="954F72"/>
      <w:u w:val="single"/>
    </w:rPr>
  </w:style>
  <w:style w:type="paragraph" w:customStyle="1" w:styleId="msonormal0">
    <w:name w:val="msonormal"/>
    <w:basedOn w:val="Normal"/>
    <w:rsid w:val="003A27EE"/>
    <w:pPr>
      <w:spacing w:before="100" w:beforeAutospacing="1" w:after="100" w:afterAutospacing="1" w:line="240" w:lineRule="auto"/>
    </w:pPr>
    <w:rPr>
      <w:rFonts w:eastAsia="Times New Roman"/>
      <w:sz w:val="24"/>
      <w:szCs w:val="24"/>
    </w:rPr>
  </w:style>
  <w:style w:type="paragraph" w:customStyle="1" w:styleId="font5">
    <w:name w:val="font5"/>
    <w:basedOn w:val="Normal"/>
    <w:rsid w:val="003A27EE"/>
    <w:pPr>
      <w:spacing w:before="100" w:beforeAutospacing="1" w:after="100" w:afterAutospacing="1" w:line="240" w:lineRule="auto"/>
    </w:pPr>
    <w:rPr>
      <w:rFonts w:eastAsia="Times New Roman"/>
      <w:sz w:val="24"/>
      <w:szCs w:val="24"/>
    </w:rPr>
  </w:style>
  <w:style w:type="paragraph" w:customStyle="1" w:styleId="font6">
    <w:name w:val="font6"/>
    <w:basedOn w:val="Normal"/>
    <w:rsid w:val="003A27EE"/>
    <w:pPr>
      <w:spacing w:before="100" w:beforeAutospacing="1" w:after="100" w:afterAutospacing="1" w:line="240" w:lineRule="auto"/>
    </w:pPr>
    <w:rPr>
      <w:rFonts w:eastAsia="Times New Roman"/>
      <w:sz w:val="24"/>
      <w:szCs w:val="24"/>
    </w:rPr>
  </w:style>
  <w:style w:type="paragraph" w:customStyle="1" w:styleId="xl64">
    <w:name w:val="xl64"/>
    <w:basedOn w:val="Normal"/>
    <w:rsid w:val="003A27EE"/>
    <w:pPr>
      <w:spacing w:before="100" w:beforeAutospacing="1" w:after="100" w:afterAutospacing="1" w:line="240" w:lineRule="auto"/>
      <w:textAlignment w:val="top"/>
    </w:pPr>
    <w:rPr>
      <w:rFonts w:eastAsia="Times New Roman"/>
      <w:color w:val="FF0000"/>
      <w:sz w:val="24"/>
      <w:szCs w:val="24"/>
    </w:rPr>
  </w:style>
  <w:style w:type="paragraph" w:customStyle="1" w:styleId="xl65">
    <w:name w:val="xl65"/>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66">
    <w:name w:val="xl66"/>
    <w:basedOn w:val="Normal"/>
    <w:rsid w:val="003A27EE"/>
    <w:pPr>
      <w:spacing w:before="100" w:beforeAutospacing="1" w:after="100" w:afterAutospacing="1" w:line="240" w:lineRule="auto"/>
      <w:textAlignment w:val="top"/>
    </w:pPr>
    <w:rPr>
      <w:rFonts w:eastAsia="Times New Roman"/>
      <w:sz w:val="24"/>
      <w:szCs w:val="24"/>
    </w:rPr>
  </w:style>
  <w:style w:type="paragraph" w:customStyle="1" w:styleId="xl67">
    <w:name w:val="xl67"/>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68">
    <w:name w:val="xl68"/>
    <w:basedOn w:val="Normal"/>
    <w:rsid w:val="003A27EE"/>
    <w:pPr>
      <w:spacing w:before="100" w:beforeAutospacing="1" w:after="100" w:afterAutospacing="1" w:line="240" w:lineRule="auto"/>
    </w:pPr>
    <w:rPr>
      <w:rFonts w:eastAsia="Times New Roman"/>
      <w:sz w:val="24"/>
      <w:szCs w:val="24"/>
    </w:rPr>
  </w:style>
  <w:style w:type="paragraph" w:customStyle="1" w:styleId="xl69">
    <w:name w:val="xl69"/>
    <w:basedOn w:val="Normal"/>
    <w:rsid w:val="003A27EE"/>
    <w:pPr>
      <w:spacing w:before="100" w:beforeAutospacing="1" w:after="100" w:afterAutospacing="1" w:line="240" w:lineRule="auto"/>
      <w:jc w:val="center"/>
      <w:textAlignment w:val="top"/>
    </w:pPr>
    <w:rPr>
      <w:rFonts w:eastAsia="Times New Roman"/>
      <w:sz w:val="24"/>
      <w:szCs w:val="24"/>
    </w:rPr>
  </w:style>
  <w:style w:type="paragraph" w:customStyle="1" w:styleId="xl70">
    <w:name w:val="xl70"/>
    <w:basedOn w:val="Normal"/>
    <w:rsid w:val="003A27EE"/>
    <w:pPr>
      <w:spacing w:before="100" w:beforeAutospacing="1" w:after="100" w:afterAutospacing="1" w:line="240" w:lineRule="auto"/>
      <w:textAlignment w:val="top"/>
    </w:pPr>
    <w:rPr>
      <w:rFonts w:eastAsia="Times New Roman"/>
      <w:sz w:val="24"/>
      <w:szCs w:val="24"/>
    </w:rPr>
  </w:style>
  <w:style w:type="paragraph" w:customStyle="1" w:styleId="xl71">
    <w:name w:val="xl71"/>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72">
    <w:name w:val="xl72"/>
    <w:basedOn w:val="Normal"/>
    <w:rsid w:val="003A27EE"/>
    <w:pPr>
      <w:spacing w:before="100" w:beforeAutospacing="1" w:after="100" w:afterAutospacing="1" w:line="240" w:lineRule="auto"/>
      <w:textAlignment w:val="top"/>
    </w:pPr>
    <w:rPr>
      <w:rFonts w:eastAsia="Times New Roman"/>
      <w:sz w:val="24"/>
      <w:szCs w:val="24"/>
    </w:rPr>
  </w:style>
  <w:style w:type="paragraph" w:customStyle="1" w:styleId="xl73">
    <w:name w:val="xl73"/>
    <w:basedOn w:val="Normal"/>
    <w:rsid w:val="003A27EE"/>
    <w:pPr>
      <w:spacing w:before="100" w:beforeAutospacing="1" w:after="100" w:afterAutospacing="1" w:line="240" w:lineRule="auto"/>
      <w:textAlignment w:val="top"/>
    </w:pPr>
    <w:rPr>
      <w:rFonts w:eastAsia="Times New Roman"/>
      <w:sz w:val="24"/>
      <w:szCs w:val="24"/>
    </w:rPr>
  </w:style>
  <w:style w:type="paragraph" w:customStyle="1" w:styleId="xl74">
    <w:name w:val="xl74"/>
    <w:basedOn w:val="Normal"/>
    <w:rsid w:val="003A27EE"/>
    <w:pPr>
      <w:spacing w:before="100" w:beforeAutospacing="1" w:after="100" w:afterAutospacing="1" w:line="240" w:lineRule="auto"/>
      <w:jc w:val="center"/>
      <w:textAlignment w:val="top"/>
    </w:pPr>
    <w:rPr>
      <w:rFonts w:eastAsia="Times New Roman"/>
      <w:b/>
      <w:bCs/>
      <w:sz w:val="24"/>
      <w:szCs w:val="24"/>
    </w:rPr>
  </w:style>
  <w:style w:type="paragraph" w:customStyle="1" w:styleId="xl75">
    <w:name w:val="xl75"/>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76">
    <w:name w:val="xl76"/>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4"/>
      <w:szCs w:val="24"/>
    </w:rPr>
  </w:style>
  <w:style w:type="paragraph" w:customStyle="1" w:styleId="xl77">
    <w:name w:val="xl77"/>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rPr>
  </w:style>
  <w:style w:type="paragraph" w:customStyle="1" w:styleId="xl78">
    <w:name w:val="xl78"/>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79">
    <w:name w:val="xl79"/>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4"/>
      <w:szCs w:val="24"/>
      <w:u w:val="single"/>
    </w:rPr>
  </w:style>
  <w:style w:type="paragraph" w:customStyle="1" w:styleId="xl80">
    <w:name w:val="xl80"/>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i/>
      <w:iCs/>
      <w:sz w:val="24"/>
      <w:szCs w:val="24"/>
    </w:rPr>
  </w:style>
  <w:style w:type="paragraph" w:customStyle="1" w:styleId="xl81">
    <w:name w:val="xl81"/>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4"/>
      <w:szCs w:val="24"/>
    </w:rPr>
  </w:style>
  <w:style w:type="paragraph" w:customStyle="1" w:styleId="xl82">
    <w:name w:val="xl82"/>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3">
    <w:name w:val="xl83"/>
    <w:basedOn w:val="Normal"/>
    <w:rsid w:val="003A27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84">
    <w:name w:val="xl84"/>
    <w:basedOn w:val="Normal"/>
    <w:rsid w:val="003A27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24"/>
      <w:szCs w:val="24"/>
    </w:rPr>
  </w:style>
  <w:style w:type="paragraph" w:customStyle="1" w:styleId="xl85">
    <w:name w:val="xl85"/>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4"/>
      <w:szCs w:val="24"/>
    </w:rPr>
  </w:style>
  <w:style w:type="paragraph" w:customStyle="1" w:styleId="xl86">
    <w:name w:val="xl86"/>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7">
    <w:name w:val="xl87"/>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8">
    <w:name w:val="xl88"/>
    <w:basedOn w:val="Normal"/>
    <w:rsid w:val="003A27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63">
    <w:name w:val="xl63"/>
    <w:basedOn w:val="Normal"/>
    <w:rsid w:val="008831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eastAsia="Times New Roman"/>
      <w:sz w:val="24"/>
      <w:szCs w:val="24"/>
    </w:rPr>
  </w:style>
  <w:style w:type="table" w:customStyle="1" w:styleId="TableGrid1">
    <w:name w:val="Table Grid1"/>
    <w:basedOn w:val="TableNormal"/>
    <w:next w:val="TableGrid"/>
    <w:uiPriority w:val="39"/>
    <w:rsid w:val="00D7760B"/>
    <w:pPr>
      <w:spacing w:after="0" w:line="240" w:lineRule="auto"/>
    </w:pPr>
    <w:rPr>
      <w:rFonts w:ascii="Calibr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41A43"/>
    <w:pPr>
      <w:spacing w:line="240" w:lineRule="auto"/>
    </w:pPr>
    <w:rPr>
      <w:rFonts w:cstheme="minorBidi"/>
      <w:i/>
      <w:iCs/>
      <w:color w:val="242852" w:themeColor="text2"/>
      <w:sz w:val="18"/>
      <w:szCs w:val="18"/>
    </w:rPr>
  </w:style>
  <w:style w:type="paragraph" w:customStyle="1" w:styleId="538552DCBB0F4C4BB087ED922D6A6322">
    <w:name w:val="538552DCBB0F4C4BB087ED922D6A6322"/>
    <w:rsid w:val="009309C8"/>
    <w:rPr>
      <w:rFonts w:asciiTheme="minorHAnsi" w:eastAsiaTheme="minorEastAsia" w:hAnsiTheme="minorHAnsi" w:cstheme="minorBidi"/>
      <w:sz w:val="22"/>
      <w:szCs w:val="22"/>
      <w:lang w:eastAsia="ja-JP"/>
    </w:rPr>
  </w:style>
  <w:style w:type="paragraph" w:customStyle="1" w:styleId="basicparagraph">
    <w:name w:val="basicparagraph"/>
    <w:basedOn w:val="Normal"/>
    <w:rsid w:val="00EF7BAD"/>
    <w:pPr>
      <w:spacing w:before="100" w:beforeAutospacing="1" w:after="100" w:afterAutospacing="1" w:line="240" w:lineRule="auto"/>
    </w:pPr>
    <w:rPr>
      <w:rFonts w:eastAsia="Times New Roman"/>
      <w:sz w:val="24"/>
      <w:szCs w:val="24"/>
    </w:rPr>
  </w:style>
  <w:style w:type="table" w:styleId="ListTable4-Accent1">
    <w:name w:val="List Table 4 Accent 1"/>
    <w:basedOn w:val="TableNormal"/>
    <w:uiPriority w:val="49"/>
    <w:rsid w:val="00EF7BAD"/>
    <w:pPr>
      <w:spacing w:after="0" w:line="240" w:lineRule="auto"/>
    </w:pPr>
    <w:rPr>
      <w:rFonts w:cstheme="minorBidi"/>
      <w:color w:val="4A66AC" w:themeColor="accent1"/>
      <w:sz w:val="48"/>
      <w:szCs w:val="48"/>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tcBorders>
        <w:shd w:val="clear" w:color="auto" w:fill="4A66AC" w:themeFill="accent1"/>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NoSpacing">
    <w:name w:val="No Spacing"/>
    <w:link w:val="NoSpacingChar"/>
    <w:uiPriority w:val="1"/>
    <w:qFormat/>
    <w:rsid w:val="00EF7BAD"/>
    <w:pPr>
      <w:spacing w:after="0" w:line="240" w:lineRule="auto"/>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F7BAD"/>
    <w:rPr>
      <w:rFonts w:asciiTheme="minorHAnsi" w:eastAsiaTheme="minorEastAsia" w:hAnsiTheme="minorHAnsi" w:cstheme="minorBidi"/>
      <w:sz w:val="22"/>
      <w:szCs w:val="22"/>
    </w:rPr>
  </w:style>
  <w:style w:type="table" w:styleId="GridTable4-Accent2">
    <w:name w:val="Grid Table 4 Accent 2"/>
    <w:basedOn w:val="TableNormal"/>
    <w:uiPriority w:val="49"/>
    <w:rsid w:val="00EF7BAD"/>
    <w:pPr>
      <w:spacing w:after="0" w:line="240" w:lineRule="auto"/>
    </w:pPr>
    <w:rPr>
      <w:rFonts w:cstheme="minorBidi"/>
      <w:color w:val="4A66AC" w:themeColor="accent1"/>
      <w:sz w:val="48"/>
      <w:szCs w:val="48"/>
    </w:rPr>
    <w:tblPr>
      <w:tblStyleRowBandSize w:val="1"/>
      <w:tblStyleColBandSize w:val="1"/>
      <w:tblInd w:w="0" w:type="dxa"/>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ListTable4-Accent5">
    <w:name w:val="List Table 4 Accent 5"/>
    <w:basedOn w:val="TableNormal"/>
    <w:uiPriority w:val="49"/>
    <w:rsid w:val="00A47733"/>
    <w:pPr>
      <w:spacing w:after="0" w:line="240" w:lineRule="auto"/>
    </w:pPr>
    <w:tblPr>
      <w:tblStyleRowBandSize w:val="1"/>
      <w:tblStyleColBandSize w:val="1"/>
      <w:tblInd w:w="0" w:type="dxa"/>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styleId="GridTable4-Accent3">
    <w:name w:val="Grid Table 4 Accent 3"/>
    <w:basedOn w:val="TableNormal"/>
    <w:uiPriority w:val="49"/>
    <w:rsid w:val="004D48A3"/>
    <w:pPr>
      <w:spacing w:after="0" w:line="240" w:lineRule="auto"/>
    </w:pPr>
    <w:tblPr>
      <w:tblStyleRowBandSize w:val="1"/>
      <w:tblStyleColBandSize w:val="1"/>
      <w:tblInd w:w="0" w:type="dxa"/>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PlainTable1">
    <w:name w:val="Plain Table 1"/>
    <w:basedOn w:val="TableNormal"/>
    <w:uiPriority w:val="41"/>
    <w:rsid w:val="005D3CA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nt7">
    <w:name w:val="font7"/>
    <w:basedOn w:val="Normal"/>
    <w:rsid w:val="00C870F1"/>
    <w:pPr>
      <w:spacing w:before="100" w:beforeAutospacing="1" w:after="100" w:afterAutospacing="1" w:line="240" w:lineRule="auto"/>
    </w:pPr>
    <w:rPr>
      <w:rFonts w:eastAsia="Times New Roman"/>
      <w:color w:val="000000"/>
      <w:sz w:val="22"/>
      <w:szCs w:val="22"/>
    </w:rPr>
  </w:style>
  <w:style w:type="paragraph" w:customStyle="1" w:styleId="font8">
    <w:name w:val="font8"/>
    <w:basedOn w:val="Normal"/>
    <w:rsid w:val="00C870F1"/>
    <w:pPr>
      <w:spacing w:before="100" w:beforeAutospacing="1" w:after="100" w:afterAutospacing="1" w:line="240" w:lineRule="auto"/>
    </w:pPr>
    <w:rPr>
      <w:rFonts w:eastAsia="Times New Roman"/>
      <w:color w:val="000000"/>
      <w:sz w:val="22"/>
      <w:szCs w:val="22"/>
    </w:rPr>
  </w:style>
  <w:style w:type="paragraph" w:customStyle="1" w:styleId="DefaultParagraphFontParaCharCharCharCharChar">
    <w:name w:val="Default Paragraph Font Para Char Char Char Char Char"/>
    <w:autoRedefine/>
    <w:rsid w:val="008E240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17">
      <w:bodyDiv w:val="1"/>
      <w:marLeft w:val="0"/>
      <w:marRight w:val="0"/>
      <w:marTop w:val="0"/>
      <w:marBottom w:val="0"/>
      <w:divBdr>
        <w:top w:val="none" w:sz="0" w:space="0" w:color="auto"/>
        <w:left w:val="none" w:sz="0" w:space="0" w:color="auto"/>
        <w:bottom w:val="none" w:sz="0" w:space="0" w:color="auto"/>
        <w:right w:val="none" w:sz="0" w:space="0" w:color="auto"/>
      </w:divBdr>
    </w:div>
    <w:div w:id="80762536">
      <w:bodyDiv w:val="1"/>
      <w:marLeft w:val="0"/>
      <w:marRight w:val="0"/>
      <w:marTop w:val="0"/>
      <w:marBottom w:val="0"/>
      <w:divBdr>
        <w:top w:val="none" w:sz="0" w:space="0" w:color="auto"/>
        <w:left w:val="none" w:sz="0" w:space="0" w:color="auto"/>
        <w:bottom w:val="none" w:sz="0" w:space="0" w:color="auto"/>
        <w:right w:val="none" w:sz="0" w:space="0" w:color="auto"/>
      </w:divBdr>
    </w:div>
    <w:div w:id="91781299">
      <w:bodyDiv w:val="1"/>
      <w:marLeft w:val="0"/>
      <w:marRight w:val="0"/>
      <w:marTop w:val="0"/>
      <w:marBottom w:val="0"/>
      <w:divBdr>
        <w:top w:val="none" w:sz="0" w:space="0" w:color="auto"/>
        <w:left w:val="none" w:sz="0" w:space="0" w:color="auto"/>
        <w:bottom w:val="none" w:sz="0" w:space="0" w:color="auto"/>
        <w:right w:val="none" w:sz="0" w:space="0" w:color="auto"/>
      </w:divBdr>
      <w:divsChild>
        <w:div w:id="154300519">
          <w:marLeft w:val="0"/>
          <w:marRight w:val="0"/>
          <w:marTop w:val="0"/>
          <w:marBottom w:val="0"/>
          <w:divBdr>
            <w:top w:val="none" w:sz="0" w:space="0" w:color="auto"/>
            <w:left w:val="none" w:sz="0" w:space="0" w:color="auto"/>
            <w:bottom w:val="none" w:sz="0" w:space="0" w:color="auto"/>
            <w:right w:val="none" w:sz="0" w:space="0" w:color="auto"/>
          </w:divBdr>
        </w:div>
        <w:div w:id="1512600814">
          <w:marLeft w:val="0"/>
          <w:marRight w:val="0"/>
          <w:marTop w:val="0"/>
          <w:marBottom w:val="0"/>
          <w:divBdr>
            <w:top w:val="none" w:sz="0" w:space="0" w:color="auto"/>
            <w:left w:val="none" w:sz="0" w:space="0" w:color="auto"/>
            <w:bottom w:val="none" w:sz="0" w:space="0" w:color="auto"/>
            <w:right w:val="none" w:sz="0" w:space="0" w:color="auto"/>
          </w:divBdr>
        </w:div>
      </w:divsChild>
    </w:div>
    <w:div w:id="131095420">
      <w:bodyDiv w:val="1"/>
      <w:marLeft w:val="0"/>
      <w:marRight w:val="0"/>
      <w:marTop w:val="0"/>
      <w:marBottom w:val="0"/>
      <w:divBdr>
        <w:top w:val="none" w:sz="0" w:space="0" w:color="auto"/>
        <w:left w:val="none" w:sz="0" w:space="0" w:color="auto"/>
        <w:bottom w:val="none" w:sz="0" w:space="0" w:color="auto"/>
        <w:right w:val="none" w:sz="0" w:space="0" w:color="auto"/>
      </w:divBdr>
    </w:div>
    <w:div w:id="136150404">
      <w:bodyDiv w:val="1"/>
      <w:marLeft w:val="0"/>
      <w:marRight w:val="0"/>
      <w:marTop w:val="0"/>
      <w:marBottom w:val="0"/>
      <w:divBdr>
        <w:top w:val="none" w:sz="0" w:space="0" w:color="auto"/>
        <w:left w:val="none" w:sz="0" w:space="0" w:color="auto"/>
        <w:bottom w:val="none" w:sz="0" w:space="0" w:color="auto"/>
        <w:right w:val="none" w:sz="0" w:space="0" w:color="auto"/>
      </w:divBdr>
    </w:div>
    <w:div w:id="173961799">
      <w:bodyDiv w:val="1"/>
      <w:marLeft w:val="0"/>
      <w:marRight w:val="0"/>
      <w:marTop w:val="0"/>
      <w:marBottom w:val="0"/>
      <w:divBdr>
        <w:top w:val="none" w:sz="0" w:space="0" w:color="auto"/>
        <w:left w:val="none" w:sz="0" w:space="0" w:color="auto"/>
        <w:bottom w:val="none" w:sz="0" w:space="0" w:color="auto"/>
        <w:right w:val="none" w:sz="0" w:space="0" w:color="auto"/>
      </w:divBdr>
      <w:divsChild>
        <w:div w:id="567954991">
          <w:marLeft w:val="0"/>
          <w:marRight w:val="0"/>
          <w:marTop w:val="0"/>
          <w:marBottom w:val="0"/>
          <w:divBdr>
            <w:top w:val="none" w:sz="0" w:space="0" w:color="auto"/>
            <w:left w:val="none" w:sz="0" w:space="0" w:color="auto"/>
            <w:bottom w:val="none" w:sz="0" w:space="0" w:color="auto"/>
            <w:right w:val="none" w:sz="0" w:space="0" w:color="auto"/>
          </w:divBdr>
        </w:div>
        <w:div w:id="1536039198">
          <w:marLeft w:val="0"/>
          <w:marRight w:val="0"/>
          <w:marTop w:val="0"/>
          <w:marBottom w:val="0"/>
          <w:divBdr>
            <w:top w:val="none" w:sz="0" w:space="0" w:color="auto"/>
            <w:left w:val="none" w:sz="0" w:space="0" w:color="auto"/>
            <w:bottom w:val="none" w:sz="0" w:space="0" w:color="auto"/>
            <w:right w:val="none" w:sz="0" w:space="0" w:color="auto"/>
          </w:divBdr>
        </w:div>
      </w:divsChild>
    </w:div>
    <w:div w:id="295918878">
      <w:bodyDiv w:val="1"/>
      <w:marLeft w:val="0"/>
      <w:marRight w:val="0"/>
      <w:marTop w:val="0"/>
      <w:marBottom w:val="0"/>
      <w:divBdr>
        <w:top w:val="none" w:sz="0" w:space="0" w:color="auto"/>
        <w:left w:val="none" w:sz="0" w:space="0" w:color="auto"/>
        <w:bottom w:val="none" w:sz="0" w:space="0" w:color="auto"/>
        <w:right w:val="none" w:sz="0" w:space="0" w:color="auto"/>
      </w:divBdr>
    </w:div>
    <w:div w:id="331372199">
      <w:bodyDiv w:val="1"/>
      <w:marLeft w:val="0"/>
      <w:marRight w:val="0"/>
      <w:marTop w:val="0"/>
      <w:marBottom w:val="0"/>
      <w:divBdr>
        <w:top w:val="none" w:sz="0" w:space="0" w:color="auto"/>
        <w:left w:val="none" w:sz="0" w:space="0" w:color="auto"/>
        <w:bottom w:val="none" w:sz="0" w:space="0" w:color="auto"/>
        <w:right w:val="none" w:sz="0" w:space="0" w:color="auto"/>
      </w:divBdr>
    </w:div>
    <w:div w:id="426653999">
      <w:bodyDiv w:val="1"/>
      <w:marLeft w:val="0"/>
      <w:marRight w:val="0"/>
      <w:marTop w:val="0"/>
      <w:marBottom w:val="0"/>
      <w:divBdr>
        <w:top w:val="none" w:sz="0" w:space="0" w:color="auto"/>
        <w:left w:val="none" w:sz="0" w:space="0" w:color="auto"/>
        <w:bottom w:val="none" w:sz="0" w:space="0" w:color="auto"/>
        <w:right w:val="none" w:sz="0" w:space="0" w:color="auto"/>
      </w:divBdr>
    </w:div>
    <w:div w:id="473569015">
      <w:bodyDiv w:val="1"/>
      <w:marLeft w:val="0"/>
      <w:marRight w:val="0"/>
      <w:marTop w:val="0"/>
      <w:marBottom w:val="0"/>
      <w:divBdr>
        <w:top w:val="none" w:sz="0" w:space="0" w:color="auto"/>
        <w:left w:val="none" w:sz="0" w:space="0" w:color="auto"/>
        <w:bottom w:val="none" w:sz="0" w:space="0" w:color="auto"/>
        <w:right w:val="none" w:sz="0" w:space="0" w:color="auto"/>
      </w:divBdr>
    </w:div>
    <w:div w:id="488253420">
      <w:bodyDiv w:val="1"/>
      <w:marLeft w:val="0"/>
      <w:marRight w:val="0"/>
      <w:marTop w:val="0"/>
      <w:marBottom w:val="0"/>
      <w:divBdr>
        <w:top w:val="none" w:sz="0" w:space="0" w:color="auto"/>
        <w:left w:val="none" w:sz="0" w:space="0" w:color="auto"/>
        <w:bottom w:val="none" w:sz="0" w:space="0" w:color="auto"/>
        <w:right w:val="none" w:sz="0" w:space="0" w:color="auto"/>
      </w:divBdr>
    </w:div>
    <w:div w:id="518471026">
      <w:bodyDiv w:val="1"/>
      <w:marLeft w:val="0"/>
      <w:marRight w:val="0"/>
      <w:marTop w:val="0"/>
      <w:marBottom w:val="0"/>
      <w:divBdr>
        <w:top w:val="none" w:sz="0" w:space="0" w:color="auto"/>
        <w:left w:val="none" w:sz="0" w:space="0" w:color="auto"/>
        <w:bottom w:val="none" w:sz="0" w:space="0" w:color="auto"/>
        <w:right w:val="none" w:sz="0" w:space="0" w:color="auto"/>
      </w:divBdr>
    </w:div>
    <w:div w:id="533426222">
      <w:bodyDiv w:val="1"/>
      <w:marLeft w:val="0"/>
      <w:marRight w:val="0"/>
      <w:marTop w:val="0"/>
      <w:marBottom w:val="0"/>
      <w:divBdr>
        <w:top w:val="none" w:sz="0" w:space="0" w:color="auto"/>
        <w:left w:val="none" w:sz="0" w:space="0" w:color="auto"/>
        <w:bottom w:val="none" w:sz="0" w:space="0" w:color="auto"/>
        <w:right w:val="none" w:sz="0" w:space="0" w:color="auto"/>
      </w:divBdr>
    </w:div>
    <w:div w:id="668404827">
      <w:bodyDiv w:val="1"/>
      <w:marLeft w:val="0"/>
      <w:marRight w:val="0"/>
      <w:marTop w:val="0"/>
      <w:marBottom w:val="0"/>
      <w:divBdr>
        <w:top w:val="none" w:sz="0" w:space="0" w:color="auto"/>
        <w:left w:val="none" w:sz="0" w:space="0" w:color="auto"/>
        <w:bottom w:val="none" w:sz="0" w:space="0" w:color="auto"/>
        <w:right w:val="none" w:sz="0" w:space="0" w:color="auto"/>
      </w:divBdr>
    </w:div>
    <w:div w:id="881406596">
      <w:bodyDiv w:val="1"/>
      <w:marLeft w:val="0"/>
      <w:marRight w:val="0"/>
      <w:marTop w:val="0"/>
      <w:marBottom w:val="0"/>
      <w:divBdr>
        <w:top w:val="none" w:sz="0" w:space="0" w:color="auto"/>
        <w:left w:val="none" w:sz="0" w:space="0" w:color="auto"/>
        <w:bottom w:val="none" w:sz="0" w:space="0" w:color="auto"/>
        <w:right w:val="none" w:sz="0" w:space="0" w:color="auto"/>
      </w:divBdr>
    </w:div>
    <w:div w:id="1008021721">
      <w:bodyDiv w:val="1"/>
      <w:marLeft w:val="0"/>
      <w:marRight w:val="0"/>
      <w:marTop w:val="0"/>
      <w:marBottom w:val="0"/>
      <w:divBdr>
        <w:top w:val="none" w:sz="0" w:space="0" w:color="auto"/>
        <w:left w:val="none" w:sz="0" w:space="0" w:color="auto"/>
        <w:bottom w:val="none" w:sz="0" w:space="0" w:color="auto"/>
        <w:right w:val="none" w:sz="0" w:space="0" w:color="auto"/>
      </w:divBdr>
    </w:div>
    <w:div w:id="1057629778">
      <w:bodyDiv w:val="1"/>
      <w:marLeft w:val="0"/>
      <w:marRight w:val="0"/>
      <w:marTop w:val="0"/>
      <w:marBottom w:val="0"/>
      <w:divBdr>
        <w:top w:val="none" w:sz="0" w:space="0" w:color="auto"/>
        <w:left w:val="none" w:sz="0" w:space="0" w:color="auto"/>
        <w:bottom w:val="none" w:sz="0" w:space="0" w:color="auto"/>
        <w:right w:val="none" w:sz="0" w:space="0" w:color="auto"/>
      </w:divBdr>
    </w:div>
    <w:div w:id="1079711108">
      <w:bodyDiv w:val="1"/>
      <w:marLeft w:val="0"/>
      <w:marRight w:val="0"/>
      <w:marTop w:val="0"/>
      <w:marBottom w:val="0"/>
      <w:divBdr>
        <w:top w:val="none" w:sz="0" w:space="0" w:color="auto"/>
        <w:left w:val="none" w:sz="0" w:space="0" w:color="auto"/>
        <w:bottom w:val="none" w:sz="0" w:space="0" w:color="auto"/>
        <w:right w:val="none" w:sz="0" w:space="0" w:color="auto"/>
      </w:divBdr>
      <w:divsChild>
        <w:div w:id="714351610">
          <w:marLeft w:val="0"/>
          <w:marRight w:val="0"/>
          <w:marTop w:val="0"/>
          <w:marBottom w:val="0"/>
          <w:divBdr>
            <w:top w:val="none" w:sz="0" w:space="0" w:color="auto"/>
            <w:left w:val="none" w:sz="0" w:space="0" w:color="auto"/>
            <w:bottom w:val="none" w:sz="0" w:space="0" w:color="auto"/>
            <w:right w:val="none" w:sz="0" w:space="0" w:color="auto"/>
          </w:divBdr>
        </w:div>
      </w:divsChild>
    </w:div>
    <w:div w:id="1138719362">
      <w:bodyDiv w:val="1"/>
      <w:marLeft w:val="0"/>
      <w:marRight w:val="0"/>
      <w:marTop w:val="0"/>
      <w:marBottom w:val="0"/>
      <w:divBdr>
        <w:top w:val="none" w:sz="0" w:space="0" w:color="auto"/>
        <w:left w:val="none" w:sz="0" w:space="0" w:color="auto"/>
        <w:bottom w:val="none" w:sz="0" w:space="0" w:color="auto"/>
        <w:right w:val="none" w:sz="0" w:space="0" w:color="auto"/>
      </w:divBdr>
      <w:divsChild>
        <w:div w:id="54856793">
          <w:marLeft w:val="0"/>
          <w:marRight w:val="0"/>
          <w:marTop w:val="0"/>
          <w:marBottom w:val="0"/>
          <w:divBdr>
            <w:top w:val="none" w:sz="0" w:space="0" w:color="auto"/>
            <w:left w:val="none" w:sz="0" w:space="0" w:color="auto"/>
            <w:bottom w:val="none" w:sz="0" w:space="0" w:color="auto"/>
            <w:right w:val="none" w:sz="0" w:space="0" w:color="auto"/>
          </w:divBdr>
        </w:div>
        <w:div w:id="66651132">
          <w:marLeft w:val="0"/>
          <w:marRight w:val="0"/>
          <w:marTop w:val="0"/>
          <w:marBottom w:val="0"/>
          <w:divBdr>
            <w:top w:val="none" w:sz="0" w:space="0" w:color="auto"/>
            <w:left w:val="none" w:sz="0" w:space="0" w:color="auto"/>
            <w:bottom w:val="none" w:sz="0" w:space="0" w:color="auto"/>
            <w:right w:val="none" w:sz="0" w:space="0" w:color="auto"/>
          </w:divBdr>
        </w:div>
      </w:divsChild>
    </w:div>
    <w:div w:id="1164473806">
      <w:bodyDiv w:val="1"/>
      <w:marLeft w:val="0"/>
      <w:marRight w:val="0"/>
      <w:marTop w:val="0"/>
      <w:marBottom w:val="0"/>
      <w:divBdr>
        <w:top w:val="none" w:sz="0" w:space="0" w:color="auto"/>
        <w:left w:val="none" w:sz="0" w:space="0" w:color="auto"/>
        <w:bottom w:val="none" w:sz="0" w:space="0" w:color="auto"/>
        <w:right w:val="none" w:sz="0" w:space="0" w:color="auto"/>
      </w:divBdr>
    </w:div>
    <w:div w:id="1195340882">
      <w:bodyDiv w:val="1"/>
      <w:marLeft w:val="0"/>
      <w:marRight w:val="0"/>
      <w:marTop w:val="0"/>
      <w:marBottom w:val="0"/>
      <w:divBdr>
        <w:top w:val="none" w:sz="0" w:space="0" w:color="auto"/>
        <w:left w:val="none" w:sz="0" w:space="0" w:color="auto"/>
        <w:bottom w:val="none" w:sz="0" w:space="0" w:color="auto"/>
        <w:right w:val="none" w:sz="0" w:space="0" w:color="auto"/>
      </w:divBdr>
    </w:div>
    <w:div w:id="1202548910">
      <w:bodyDiv w:val="1"/>
      <w:marLeft w:val="0"/>
      <w:marRight w:val="0"/>
      <w:marTop w:val="0"/>
      <w:marBottom w:val="0"/>
      <w:divBdr>
        <w:top w:val="none" w:sz="0" w:space="0" w:color="auto"/>
        <w:left w:val="none" w:sz="0" w:space="0" w:color="auto"/>
        <w:bottom w:val="none" w:sz="0" w:space="0" w:color="auto"/>
        <w:right w:val="none" w:sz="0" w:space="0" w:color="auto"/>
      </w:divBdr>
    </w:div>
    <w:div w:id="1269971463">
      <w:bodyDiv w:val="1"/>
      <w:marLeft w:val="0"/>
      <w:marRight w:val="0"/>
      <w:marTop w:val="0"/>
      <w:marBottom w:val="0"/>
      <w:divBdr>
        <w:top w:val="none" w:sz="0" w:space="0" w:color="auto"/>
        <w:left w:val="none" w:sz="0" w:space="0" w:color="auto"/>
        <w:bottom w:val="none" w:sz="0" w:space="0" w:color="auto"/>
        <w:right w:val="none" w:sz="0" w:space="0" w:color="auto"/>
      </w:divBdr>
    </w:div>
    <w:div w:id="1376008082">
      <w:bodyDiv w:val="1"/>
      <w:marLeft w:val="0"/>
      <w:marRight w:val="0"/>
      <w:marTop w:val="0"/>
      <w:marBottom w:val="0"/>
      <w:divBdr>
        <w:top w:val="none" w:sz="0" w:space="0" w:color="auto"/>
        <w:left w:val="none" w:sz="0" w:space="0" w:color="auto"/>
        <w:bottom w:val="none" w:sz="0" w:space="0" w:color="auto"/>
        <w:right w:val="none" w:sz="0" w:space="0" w:color="auto"/>
      </w:divBdr>
      <w:divsChild>
        <w:div w:id="830832544">
          <w:marLeft w:val="0"/>
          <w:marRight w:val="0"/>
          <w:marTop w:val="0"/>
          <w:marBottom w:val="0"/>
          <w:divBdr>
            <w:top w:val="none" w:sz="0" w:space="0" w:color="auto"/>
            <w:left w:val="none" w:sz="0" w:space="0" w:color="auto"/>
            <w:bottom w:val="none" w:sz="0" w:space="0" w:color="auto"/>
            <w:right w:val="none" w:sz="0" w:space="0" w:color="auto"/>
          </w:divBdr>
        </w:div>
        <w:div w:id="1353529723">
          <w:marLeft w:val="0"/>
          <w:marRight w:val="0"/>
          <w:marTop w:val="0"/>
          <w:marBottom w:val="0"/>
          <w:divBdr>
            <w:top w:val="none" w:sz="0" w:space="0" w:color="auto"/>
            <w:left w:val="none" w:sz="0" w:space="0" w:color="auto"/>
            <w:bottom w:val="none" w:sz="0" w:space="0" w:color="auto"/>
            <w:right w:val="none" w:sz="0" w:space="0" w:color="auto"/>
          </w:divBdr>
        </w:div>
      </w:divsChild>
    </w:div>
    <w:div w:id="1440489751">
      <w:bodyDiv w:val="1"/>
      <w:marLeft w:val="0"/>
      <w:marRight w:val="0"/>
      <w:marTop w:val="0"/>
      <w:marBottom w:val="0"/>
      <w:divBdr>
        <w:top w:val="none" w:sz="0" w:space="0" w:color="auto"/>
        <w:left w:val="none" w:sz="0" w:space="0" w:color="auto"/>
        <w:bottom w:val="none" w:sz="0" w:space="0" w:color="auto"/>
        <w:right w:val="none" w:sz="0" w:space="0" w:color="auto"/>
      </w:divBdr>
    </w:div>
    <w:div w:id="1489596162">
      <w:bodyDiv w:val="1"/>
      <w:marLeft w:val="0"/>
      <w:marRight w:val="0"/>
      <w:marTop w:val="0"/>
      <w:marBottom w:val="0"/>
      <w:divBdr>
        <w:top w:val="none" w:sz="0" w:space="0" w:color="auto"/>
        <w:left w:val="none" w:sz="0" w:space="0" w:color="auto"/>
        <w:bottom w:val="none" w:sz="0" w:space="0" w:color="auto"/>
        <w:right w:val="none" w:sz="0" w:space="0" w:color="auto"/>
      </w:divBdr>
    </w:div>
    <w:div w:id="1546331376">
      <w:bodyDiv w:val="1"/>
      <w:marLeft w:val="0"/>
      <w:marRight w:val="0"/>
      <w:marTop w:val="0"/>
      <w:marBottom w:val="0"/>
      <w:divBdr>
        <w:top w:val="none" w:sz="0" w:space="0" w:color="auto"/>
        <w:left w:val="none" w:sz="0" w:space="0" w:color="auto"/>
        <w:bottom w:val="none" w:sz="0" w:space="0" w:color="auto"/>
        <w:right w:val="none" w:sz="0" w:space="0" w:color="auto"/>
      </w:divBdr>
      <w:divsChild>
        <w:div w:id="204222440">
          <w:marLeft w:val="0"/>
          <w:marRight w:val="0"/>
          <w:marTop w:val="0"/>
          <w:marBottom w:val="0"/>
          <w:divBdr>
            <w:top w:val="none" w:sz="0" w:space="0" w:color="auto"/>
            <w:left w:val="none" w:sz="0" w:space="0" w:color="auto"/>
            <w:bottom w:val="none" w:sz="0" w:space="0" w:color="auto"/>
            <w:right w:val="none" w:sz="0" w:space="0" w:color="auto"/>
          </w:divBdr>
        </w:div>
        <w:div w:id="2126610216">
          <w:marLeft w:val="0"/>
          <w:marRight w:val="0"/>
          <w:marTop w:val="0"/>
          <w:marBottom w:val="0"/>
          <w:divBdr>
            <w:top w:val="none" w:sz="0" w:space="0" w:color="auto"/>
            <w:left w:val="none" w:sz="0" w:space="0" w:color="auto"/>
            <w:bottom w:val="none" w:sz="0" w:space="0" w:color="auto"/>
            <w:right w:val="none" w:sz="0" w:space="0" w:color="auto"/>
          </w:divBdr>
        </w:div>
      </w:divsChild>
    </w:div>
    <w:div w:id="1626303499">
      <w:bodyDiv w:val="1"/>
      <w:marLeft w:val="0"/>
      <w:marRight w:val="0"/>
      <w:marTop w:val="0"/>
      <w:marBottom w:val="0"/>
      <w:divBdr>
        <w:top w:val="none" w:sz="0" w:space="0" w:color="auto"/>
        <w:left w:val="none" w:sz="0" w:space="0" w:color="auto"/>
        <w:bottom w:val="none" w:sz="0" w:space="0" w:color="auto"/>
        <w:right w:val="none" w:sz="0" w:space="0" w:color="auto"/>
      </w:divBdr>
      <w:divsChild>
        <w:div w:id="1142036227">
          <w:marLeft w:val="0"/>
          <w:marRight w:val="0"/>
          <w:marTop w:val="0"/>
          <w:marBottom w:val="0"/>
          <w:divBdr>
            <w:top w:val="none" w:sz="0" w:space="0" w:color="auto"/>
            <w:left w:val="none" w:sz="0" w:space="0" w:color="auto"/>
            <w:bottom w:val="none" w:sz="0" w:space="0" w:color="auto"/>
            <w:right w:val="none" w:sz="0" w:space="0" w:color="auto"/>
          </w:divBdr>
        </w:div>
        <w:div w:id="1908540011">
          <w:marLeft w:val="0"/>
          <w:marRight w:val="0"/>
          <w:marTop w:val="0"/>
          <w:marBottom w:val="0"/>
          <w:divBdr>
            <w:top w:val="none" w:sz="0" w:space="0" w:color="auto"/>
            <w:left w:val="none" w:sz="0" w:space="0" w:color="auto"/>
            <w:bottom w:val="none" w:sz="0" w:space="0" w:color="auto"/>
            <w:right w:val="none" w:sz="0" w:space="0" w:color="auto"/>
          </w:divBdr>
        </w:div>
      </w:divsChild>
    </w:div>
    <w:div w:id="1875267798">
      <w:bodyDiv w:val="1"/>
      <w:marLeft w:val="0"/>
      <w:marRight w:val="0"/>
      <w:marTop w:val="0"/>
      <w:marBottom w:val="0"/>
      <w:divBdr>
        <w:top w:val="none" w:sz="0" w:space="0" w:color="auto"/>
        <w:left w:val="none" w:sz="0" w:space="0" w:color="auto"/>
        <w:bottom w:val="none" w:sz="0" w:space="0" w:color="auto"/>
        <w:right w:val="none" w:sz="0" w:space="0" w:color="auto"/>
      </w:divBdr>
    </w:div>
    <w:div w:id="1887832108">
      <w:bodyDiv w:val="1"/>
      <w:marLeft w:val="0"/>
      <w:marRight w:val="0"/>
      <w:marTop w:val="0"/>
      <w:marBottom w:val="0"/>
      <w:divBdr>
        <w:top w:val="none" w:sz="0" w:space="0" w:color="auto"/>
        <w:left w:val="none" w:sz="0" w:space="0" w:color="auto"/>
        <w:bottom w:val="none" w:sz="0" w:space="0" w:color="auto"/>
        <w:right w:val="none" w:sz="0" w:space="0" w:color="auto"/>
      </w:divBdr>
    </w:div>
    <w:div w:id="1919361272">
      <w:bodyDiv w:val="1"/>
      <w:marLeft w:val="0"/>
      <w:marRight w:val="0"/>
      <w:marTop w:val="0"/>
      <w:marBottom w:val="0"/>
      <w:divBdr>
        <w:top w:val="none" w:sz="0" w:space="0" w:color="auto"/>
        <w:left w:val="none" w:sz="0" w:space="0" w:color="auto"/>
        <w:bottom w:val="none" w:sz="0" w:space="0" w:color="auto"/>
        <w:right w:val="none" w:sz="0" w:space="0" w:color="auto"/>
      </w:divBdr>
      <w:divsChild>
        <w:div w:id="1363241107">
          <w:marLeft w:val="0"/>
          <w:marRight w:val="0"/>
          <w:marTop w:val="0"/>
          <w:marBottom w:val="0"/>
          <w:divBdr>
            <w:top w:val="none" w:sz="0" w:space="0" w:color="auto"/>
            <w:left w:val="none" w:sz="0" w:space="0" w:color="auto"/>
            <w:bottom w:val="none" w:sz="0" w:space="0" w:color="auto"/>
            <w:right w:val="none" w:sz="0" w:space="0" w:color="auto"/>
          </w:divBdr>
        </w:div>
        <w:div w:id="1605452219">
          <w:marLeft w:val="0"/>
          <w:marRight w:val="0"/>
          <w:marTop w:val="0"/>
          <w:marBottom w:val="0"/>
          <w:divBdr>
            <w:top w:val="none" w:sz="0" w:space="0" w:color="auto"/>
            <w:left w:val="none" w:sz="0" w:space="0" w:color="auto"/>
            <w:bottom w:val="none" w:sz="0" w:space="0" w:color="auto"/>
            <w:right w:val="none" w:sz="0" w:space="0" w:color="auto"/>
          </w:divBdr>
        </w:div>
      </w:divsChild>
    </w:div>
    <w:div w:id="20551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nhgiacduoc.org.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nhgiacduoc.org.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nhgiacduoc.org.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nhgiacduoc.org.vn/" TargetMode="External"/><Relationship Id="rId4" Type="http://schemas.openxmlformats.org/officeDocument/2006/relationships/settings" Target="settings.xml"/><Relationship Id="rId9" Type="http://schemas.openxmlformats.org/officeDocument/2006/relationships/hyperlink" Target="http://canhgiacduoc.org.v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CF7DDD866F417A8B9ACE068C3A9751"/>
        <w:category>
          <w:name w:val="General"/>
          <w:gallery w:val="placeholder"/>
        </w:category>
        <w:types>
          <w:type w:val="bbPlcHdr"/>
        </w:types>
        <w:behaviors>
          <w:behavior w:val="content"/>
        </w:behaviors>
        <w:guid w:val="{C9970B97-7DAE-49DC-B72C-FB4819E69A0E}"/>
      </w:docPartPr>
      <w:docPartBody>
        <w:p w:rsidR="00F51309" w:rsidRDefault="00C40034" w:rsidP="00C40034">
          <w:pPr>
            <w:pStyle w:val="DECF7DDD866F417A8B9ACE068C3A975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34"/>
    <w:rsid w:val="00020782"/>
    <w:rsid w:val="000A5D3E"/>
    <w:rsid w:val="000D6D14"/>
    <w:rsid w:val="00446AC2"/>
    <w:rsid w:val="004F1F81"/>
    <w:rsid w:val="00506BF6"/>
    <w:rsid w:val="00547732"/>
    <w:rsid w:val="00591380"/>
    <w:rsid w:val="007458CF"/>
    <w:rsid w:val="00B24B4E"/>
    <w:rsid w:val="00BF6FEF"/>
    <w:rsid w:val="00C21699"/>
    <w:rsid w:val="00C40034"/>
    <w:rsid w:val="00DA608F"/>
    <w:rsid w:val="00EE34B0"/>
    <w:rsid w:val="00F5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5A684A8AC4CA4A5FF571AAB49498B">
    <w:name w:val="3965A684A8AC4CA4A5FF571AAB49498B"/>
    <w:rsid w:val="00C40034"/>
  </w:style>
  <w:style w:type="paragraph" w:customStyle="1" w:styleId="C38BAA8C548442F2B3575723B7D3113E">
    <w:name w:val="C38BAA8C548442F2B3575723B7D3113E"/>
    <w:rsid w:val="00C40034"/>
  </w:style>
  <w:style w:type="paragraph" w:customStyle="1" w:styleId="37E1BE13A4C043AD874B33755ED330EC">
    <w:name w:val="37E1BE13A4C043AD874B33755ED330EC"/>
    <w:rsid w:val="00C40034"/>
  </w:style>
  <w:style w:type="paragraph" w:customStyle="1" w:styleId="05B0D0D81AAB4F5BB681E92DE900E1A6">
    <w:name w:val="05B0D0D81AAB4F5BB681E92DE900E1A6"/>
    <w:rsid w:val="00C40034"/>
  </w:style>
  <w:style w:type="paragraph" w:customStyle="1" w:styleId="6C787479B9124A11AD53DB4EDC5A21CD">
    <w:name w:val="6C787479B9124A11AD53DB4EDC5A21CD"/>
    <w:rsid w:val="00C40034"/>
  </w:style>
  <w:style w:type="paragraph" w:customStyle="1" w:styleId="07259915D4A2494C80385C11E8F3918A">
    <w:name w:val="07259915D4A2494C80385C11E8F3918A"/>
    <w:rsid w:val="00C40034"/>
  </w:style>
  <w:style w:type="paragraph" w:customStyle="1" w:styleId="C154684412D047DC8532421C0781D62D">
    <w:name w:val="C154684412D047DC8532421C0781D62D"/>
    <w:rsid w:val="00C40034"/>
  </w:style>
  <w:style w:type="paragraph" w:customStyle="1" w:styleId="44290D75F5EA441A94774C1D7177BCFD">
    <w:name w:val="44290D75F5EA441A94774C1D7177BCFD"/>
    <w:rsid w:val="00C40034"/>
  </w:style>
  <w:style w:type="paragraph" w:customStyle="1" w:styleId="533431765D8C449E86AAE4C56BB75032">
    <w:name w:val="533431765D8C449E86AAE4C56BB75032"/>
    <w:rsid w:val="00C40034"/>
  </w:style>
  <w:style w:type="paragraph" w:customStyle="1" w:styleId="FD98DFC1D17B4016AE4F1EB3AF28DC96">
    <w:name w:val="FD98DFC1D17B4016AE4F1EB3AF28DC96"/>
    <w:rsid w:val="00C40034"/>
  </w:style>
  <w:style w:type="paragraph" w:customStyle="1" w:styleId="83A1D5312D074DC3ACB1C42B01CB319C">
    <w:name w:val="83A1D5312D074DC3ACB1C42B01CB319C"/>
    <w:rsid w:val="00C40034"/>
  </w:style>
  <w:style w:type="paragraph" w:customStyle="1" w:styleId="57F1898A4EFC4EB8880CC46D14D6A21D">
    <w:name w:val="57F1898A4EFC4EB8880CC46D14D6A21D"/>
    <w:rsid w:val="00C40034"/>
  </w:style>
  <w:style w:type="paragraph" w:customStyle="1" w:styleId="4E38251D7CFC4E3583DCBC7FDD0989E1">
    <w:name w:val="4E38251D7CFC4E3583DCBC7FDD0989E1"/>
    <w:rsid w:val="00C40034"/>
  </w:style>
  <w:style w:type="paragraph" w:customStyle="1" w:styleId="D96BD91CB6BE483F80F98CDAD035CB47">
    <w:name w:val="D96BD91CB6BE483F80F98CDAD035CB47"/>
    <w:rsid w:val="00C40034"/>
  </w:style>
  <w:style w:type="paragraph" w:customStyle="1" w:styleId="DE41D1450E5B4A209558B1DCB20813CB">
    <w:name w:val="DE41D1450E5B4A209558B1DCB20813CB"/>
    <w:rsid w:val="00C40034"/>
  </w:style>
  <w:style w:type="paragraph" w:customStyle="1" w:styleId="F5B84758BD9D48E6AC08AE5FADCC8FC6">
    <w:name w:val="F5B84758BD9D48E6AC08AE5FADCC8FC6"/>
    <w:rsid w:val="00C40034"/>
  </w:style>
  <w:style w:type="paragraph" w:customStyle="1" w:styleId="2FA3D0C1AB4A4538983FB0B517DFB995">
    <w:name w:val="2FA3D0C1AB4A4538983FB0B517DFB995"/>
    <w:rsid w:val="00C40034"/>
  </w:style>
  <w:style w:type="paragraph" w:customStyle="1" w:styleId="1FE11982FB534FE4A600C3C468F99A01">
    <w:name w:val="1FE11982FB534FE4A600C3C468F99A01"/>
    <w:rsid w:val="00C40034"/>
  </w:style>
  <w:style w:type="paragraph" w:customStyle="1" w:styleId="4F66167C6F89490888AFEC6ED04F99E6">
    <w:name w:val="4F66167C6F89490888AFEC6ED04F99E6"/>
    <w:rsid w:val="00C40034"/>
  </w:style>
  <w:style w:type="paragraph" w:customStyle="1" w:styleId="DECF7DDD866F417A8B9ACE068C3A9751">
    <w:name w:val="DECF7DDD866F417A8B9ACE068C3A9751"/>
    <w:rsid w:val="00C40034"/>
  </w:style>
  <w:style w:type="paragraph" w:customStyle="1" w:styleId="39A830B119EC491A92FF95F6EFB83984">
    <w:name w:val="39A830B119EC491A92FF95F6EFB83984"/>
    <w:rsid w:val="00C40034"/>
  </w:style>
  <w:style w:type="paragraph" w:customStyle="1" w:styleId="E0A1CD8DB5E9421BA8B97DF477621B45">
    <w:name w:val="E0A1CD8DB5E9421BA8B97DF477621B45"/>
    <w:rsid w:val="00C40034"/>
  </w:style>
  <w:style w:type="paragraph" w:customStyle="1" w:styleId="71243E77858D4EA09644E4232073BC0D">
    <w:name w:val="71243E77858D4EA09644E4232073BC0D"/>
    <w:rsid w:val="00C40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99C0E-0E81-47FF-9D2A-20E8BC67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20</Pages>
  <Words>6042</Words>
  <Characters>34445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Bệnh viện đa khoa huyện Thủy Nguyên	                    Tài liệu Thông tin thuốc - Số 1/2022</vt:lpstr>
    </vt:vector>
  </TitlesOfParts>
  <Company>XP SP3 Multi main</Company>
  <LinksUpToDate>false</LinksUpToDate>
  <CharactersWithSpaces>40407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viện đa khoa huyện Thủy Nguyên	                    Tài liệu Thông tin thuốc - Số 1/2022</dc:title>
  <dc:subject/>
  <dc:creator>Thanh An</dc:creator>
  <cp:keywords/>
  <dc:description/>
  <cp:lastModifiedBy>Admin</cp:lastModifiedBy>
  <cp:revision>9</cp:revision>
  <cp:lastPrinted>2022-06-15T08:19:00Z</cp:lastPrinted>
  <dcterms:created xsi:type="dcterms:W3CDTF">2020-11-12T00:26:00Z</dcterms:created>
  <dcterms:modified xsi:type="dcterms:W3CDTF">2022-06-15T08:30:00Z</dcterms:modified>
</cp:coreProperties>
</file>